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55870-2024 i Älvsbyns kommun</w:t>
      </w:r>
    </w:p>
    <w:p>
      <w:r>
        <w:t>Detta dokument behandlar höga naturvärden i avverkningsanmälan A 55870-2024 i Älvsbyns kommun. Denna avverkningsanmälan inkom 2024-11-26 00:00:00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lappranunkel (S, §7), spindelblomster (S, §8) och spädstarr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55870-2024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7282043, E 771106 i SWEREF 99 TM.</w:t>
      </w:r>
    </w:p>
    <w:p>
      <w:r>
        <w:rPr>
          <w:b/>
        </w:rPr>
        <w:t xml:space="preserve">Spädstarr </w:t>
      </w:r>
      <w:r>
        <w:t xml:space="preserve">är typisk art för </w:t>
      </w:r>
      <w:r>
        <w:rPr>
          <w:i/>
        </w:rPr>
        <w:t xml:space="preserve">9080 Lövsumpskog </w:t>
      </w:r>
      <w:r>
        <w:t>(SLU Artdatabanken, 2025).</w:t>
      </w:r>
    </w:p>
    <w:p>
      <w:pPr>
        <w:pStyle w:val="Heading1"/>
      </w:pPr>
      <w:r>
        <w:t>Fridlysta arter</w:t>
      </w:r>
    </w:p>
    <w:p>
      <w:r>
        <w:t>Följande fridlysta arter har sina livsmiljöer och växtplatser i den avverkningsanmälda skogen: knärot (VU, §8), lappranunkel (S, §7) och spindelblomster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946981"/>
            <wp:docPr id="2" name="Picture 2"/>
            <wp:cNvGraphicFramePr>
              <a:graphicFrameLocks noChangeAspect="1"/>
            </wp:cNvGraphicFramePr>
            <a:graphic>
              <a:graphicData uri="http://schemas.openxmlformats.org/drawingml/2006/picture">
                <pic:pic>
                  <pic:nvPicPr>
                    <pic:cNvPr id="0" name="A 55870-2024 karta knärot.png"/>
                    <pic:cNvPicPr/>
                  </pic:nvPicPr>
                  <pic:blipFill>
                    <a:blip r:embed="rId17"/>
                    <a:stretch>
                      <a:fillRect/>
                    </a:stretch>
                  </pic:blipFill>
                  <pic:spPr>
                    <a:xfrm>
                      <a:off x="0" y="0"/>
                      <a:ext cx="5486400" cy="69469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7282043, E 771106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