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40107-2024 i Älvsbyns kommun</w:t>
      </w:r>
    </w:p>
    <w:p>
      <w:r>
        <w:t>Detta dokument behandlar höga naturvärden i avverkningsanmälan A 40107-2024 i Älvsbyns kommun. Denna avverkningsanmälan inkom 2024-09-19 00:00:00 och omfattar 6,4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10 naturvårdsarter hittats: knärot (VU, §8), fjällvråk (NT, §4), gammelgransskål (NT), garnlav (NT), harticka (NT), knottrig blåslav (NT), spillkråka (NT, §4), vitgrynig nållav (NT), källpraktmossa (S) och kungsfågel (§4). Av dessa är 8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337984"/>
            <wp:docPr id="1" name="Picture 1"/>
            <wp:cNvGraphicFramePr>
              <a:graphicFrameLocks noChangeAspect="1"/>
            </wp:cNvGraphicFramePr>
            <a:graphic>
              <a:graphicData uri="http://schemas.openxmlformats.org/drawingml/2006/picture">
                <pic:pic>
                  <pic:nvPicPr>
                    <pic:cNvPr id="0" name="A 40107-2024 karta.png"/>
                    <pic:cNvPicPr/>
                  </pic:nvPicPr>
                  <pic:blipFill>
                    <a:blip r:embed="rId16"/>
                    <a:stretch>
                      <a:fillRect/>
                    </a:stretch>
                  </pic:blipFill>
                  <pic:spPr>
                    <a:xfrm>
                      <a:off x="0" y="0"/>
                      <a:ext cx="5486400" cy="533798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7299867, E 777991 i SWEREF 99 TM.</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Gammelgransskål är typisk art för </w:t>
      </w:r>
      <w:r>
        <w:rPr>
          <w:i/>
        </w:rPr>
        <w:t>9010 Taiga</w:t>
      </w:r>
      <w:r>
        <w:t xml:space="preserve"> (SLU Artdatabanken, 2024; Nitare &amp; Skogsstyrelsen, 2019).</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Harticka (NT)</w:t>
      </w:r>
      <w:r>
        <w:t xml:space="preserve"> är normalt en mycket bra signalart för granskogar med höga naturvärden. Även när svampen påträffas i mer påverkade skogar är det nästan alltid fråga om skogsmiljöer i sena successionsstadier med höga naturvärden. Skogsskötselåtgärder på eller i omedelbar närhet av växtplatserna kan innebära ett hot mot arten. Harticka är typisk art för </w:t>
      </w:r>
      <w:r>
        <w:rPr>
          <w:i/>
        </w:rPr>
        <w:t xml:space="preserve">9010 Taiga, 9050 Näringsrik granskog </w:t>
      </w:r>
      <w:r>
        <w:t xml:space="preserve">och </w:t>
      </w:r>
      <w:r>
        <w:rPr>
          <w:i/>
        </w:rPr>
        <w:t>9030 Landhöjningsskog</w:t>
      </w:r>
      <w:r>
        <w:t xml:space="preserve"> (SLU Artdatabanken, 2024; Nitare &amp; Skogsstyrelsen, 2019).</w:t>
      </w:r>
    </w:p>
    <w:p>
      <w:r>
        <w:rPr>
          <w:b/>
        </w:rPr>
        <w:t>Knottrig blåslav (NT)</w:t>
      </w:r>
      <w:r>
        <w:t xml:space="preserve"> har sin huvudutbredning i gamla granskogar i det övre barrskogsbältet mot fjällen. Den signalerar alltid höga naturvärden och växer i skogar med lång kontinuitet, mest i opåverkade naturskogsbestånd. Arten överlever inte en slutavverkning (inklusive hänsyn) och den finns idag enbart i kontinuitetsskog. Lavens fortsatta förekomst bör säkerställas genom att lokaler med äldre barrskog skyddas. Knottrig blåslav är typisk art för </w:t>
      </w:r>
      <w:r>
        <w:rPr>
          <w:i/>
        </w:rPr>
        <w:t xml:space="preserve">9010 Taiga </w:t>
      </w:r>
      <w:r>
        <w:t>och</w:t>
      </w:r>
      <w:r>
        <w:rPr>
          <w:i/>
        </w:rPr>
        <w:t xml:space="preserve"> 9040 Fjällbjörkskog</w:t>
      </w:r>
    </w:p>
    <w:p>
      <w:r>
        <w:t>(SLU Artdatabanken, 2024; Nitare &amp; Skogsstyrelsen, 2019).</w:t>
      </w:r>
    </w:p>
    <w:p>
      <w:r>
        <w:rPr>
          <w:b/>
        </w:rPr>
        <w:t xml:space="preserve">Källpraktmossa </w:t>
      </w:r>
      <w:r>
        <w:t xml:space="preserve">växer på fuktig eller blöt, näringsrik och ofta mineralrik mark, t.ex. i sumpskogar. Den är en god signalart i södra och mellersta Sverige och förekommer ofta i artrika miljöer med t.ex. kärrkammossa, bågpraktmossa, filtrundmossa och skogshakmossa. Eftersom mängden våtmarker har reducerats kraftigt i södra Sverige under det senaste seklet har förekomsten av källpraktmossa troligen minskat i söder. Källpraktmossa är typisk art för </w:t>
      </w:r>
      <w:r>
        <w:rPr>
          <w:i/>
        </w:rPr>
        <w:t xml:space="preserve">7160 Källor och källkärr, 9750 Svämlövskog </w:t>
      </w:r>
      <w:r>
        <w:t>och</w:t>
      </w:r>
      <w:r>
        <w:rPr>
          <w:i/>
        </w:rPr>
        <w:t xml:space="preserve"> 9080 Lövsumpskog </w:t>
      </w:r>
      <w:r>
        <w:t>(Nitare &amp; Skogsstyrelsen, 2019; SLU Artdatabanken, 2025).</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pPr>
        <w:pStyle w:val="Heading1"/>
      </w:pPr>
      <w:r>
        <w:t>Fridlysta arter</w:t>
      </w:r>
    </w:p>
    <w:p>
      <w:r>
        <w:t>Följande fridlysta arter har sina livsmiljöer och växtplatser i den avverkningsanmälda skogen: knärot (VU, §8), fjällvråk (NT, §4), spillkråka (NT, §4) och kungsfågel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5 fyndplatser för knärot registrerade på Artportalen. Figur 2 visar gränserna för buffertzoner på 50 m, som behöver lämnas kring fyndplatserna för att knärotslokalerna inte ska försvinna vid en avverkning. Av det avverkningsanmälda området överlappar 1.43 ha med buffertzonerna och får av detta skäl inte avverkas.</w:t>
      </w:r>
    </w:p>
    <w:p>
      <w:pPr>
        <w:pStyle w:val="Caption"/>
      </w:pPr>
      <w:r>
        <w:drawing>
          <wp:inline xmlns:a="http://schemas.openxmlformats.org/drawingml/2006/main" xmlns:pic="http://schemas.openxmlformats.org/drawingml/2006/picture">
            <wp:extent cx="5486400" cy="6647224"/>
            <wp:docPr id="2" name="Picture 2"/>
            <wp:cNvGraphicFramePr>
              <a:graphicFrameLocks noChangeAspect="1"/>
            </wp:cNvGraphicFramePr>
            <a:graphic>
              <a:graphicData uri="http://schemas.openxmlformats.org/drawingml/2006/picture">
                <pic:pic>
                  <pic:nvPicPr>
                    <pic:cNvPr id="0" name="A 40107-2024 karta knärot.png"/>
                    <pic:cNvPicPr/>
                  </pic:nvPicPr>
                  <pic:blipFill>
                    <a:blip r:embed="rId17"/>
                    <a:stretch>
                      <a:fillRect/>
                    </a:stretch>
                  </pic:blipFill>
                  <pic:spPr>
                    <a:xfrm>
                      <a:off x="0" y="0"/>
                      <a:ext cx="5486400" cy="6647224"/>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7299867, E 777991 i SWEREF 99 TM.</w:t>
      </w:r>
    </w:p>
    <w:p>
      <w:pPr>
        <w:pStyle w:val="Caption"/>
      </w:pP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2026-05-20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