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45464"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454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35 naturvårdsarter, varav 28 är rödlistade, 7 är fridlysta, 17 är typiska (T) och 3 är signalarter (S): garnlav (VU, T), grenlav (VU), smultronkantarell (VU), spadskinn (VU), tajgataggsvamp (VU), torrmusseron (VU), blanksvart spiklav (NT), blå taggsvamp (NT, T), blågrå svartspik (NT), brunpudrad nållav (NT, T), dropptaggsvamp (NT, T), dvärgbägarlav (NT, T), kolflarnlav (NT, T), lavskrika (NT, T, §4), mjölsvärting (NT), motaggsvamp (NT, T), mörk kolflarnlav (NT), orange taggsvamp (NT, T), skarp dropptaggsvamp (NT), svartvit taggsvamp (NT), tallfingersvamp (NT), tallriska (NT), talltagel (NT, T), talltita (NT, §4), tretåig hackspett (NT, T, §4), vaxspindling (NT), vedskivlav (NT, T), vitplätt (NT), gullgröppa (S), nästlav (S, T), plattlummer (S, T, §9), svart taggsvamp agg.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kolflarnlav (NT, T), lavskrika (NT, T, §4), motaggsvamp (NT, T), orange taggsvamp (NT, T), talltagel (NT, T), tretåig hackspett (NT, T, §4), vedskivlav (NT, T), nästlav (S, T), plattlummer (S, T, §9), svart taggsvamp agg.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