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38 naturvårdsarter, varav 31 är rödlistade, 7 är fridlysta, 18 är typiska (T) och 3 är signalarter (S): garnlav (VU, T), grenlav (VU), skrovlig taggsvamp (VU), smalfotad taggsvamp (VU), smultronkantarell (VU), spadskinn (VU), tajgataggsvamp (VU), torrmusseron (VU), blanksvart spiklav (NT), blå taggsvamp (NT, T), blågrå svartspik (NT), brunpudrad nållav (NT, T), dropptaggsvamp (NT, T), dvärgbägarlav (NT, T), kolflarnlav (NT, T), lavskrika (NT, T, §4), mjölsvärting (NT), motaggsvamp (NT, T), mörk kolflarnlav (NT), orange taggsvamp (NT, T), skarp dropptaggsvamp (NT), svartvit taggsvamp (NT), tallfingersvamp (NT), tallriska (NT), talltagel (NT, T), talltita (NT, §4), tretåig hackspett (NT, T, §4), vaxspindling (NT), vedskivlav (NT, T), violettgrå tagellav (NT, T), vitplätt (NT), gullgröppa (S), nästlav (S, T), plattlummer (S, T, §9),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