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13 meter från avverkningsanmälan finns fynd av 23 naturvårdsarter, varav 19 är rödlistade, 6 är fridlysta, 13 är typiska (T) och 1 är signalart (S): garnlav (VU, T), grenlav (VU), smultronkantarell (VU), blanksvart spiklav (NT), blå taggsvamp (NT, T), blågrå svartspik (NT), dropptaggsvamp (NT, T), kolflarnlav (NT, T), lavskrika (NT, T, §4), motaggsvamp (NT, T), mörk kolflarnlav (NT), orange taggsvamp (NT, T), skarp dropptaggsvamp (NT), talltagel (NT, T), talltita (NT, §4), tretåig hackspett (NT, T, §4), vaxspindling (NT), vedflamlav (NT), vedskivlav (NT, T), nästlav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