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13 meter från avverkningsanmälan finns fynd av 23 naturvårdsarter, varav 19 är rödlistade, 6 är fridlysta, 13 är typiska (T) och 1 är signalart (S): garnlav (VU, T), grenlav (VU), smultronkantarell (VU), blanksvart spiklav (NT), blå taggsvamp (NT, T), blågrå svartspik (NT), dropptaggsvamp (NT, T), kolflarnlav (NT, T), lavskrika (NT, T, §4), motaggsvamp (NT, T), mörk kolflarnlav (NT), orange taggsvamp (NT, T), skarp dropptaggsvamp (NT), talltagel (NT, T), talltita (NT, §4), tretåig hackspett (NT, T, §4), vaxspindling (NT), vedflamlav (NT), vedskivlav (NT, T), nästlav (S,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talltagel (NT, T), tretåig hackspett (NT, T, §4), vedskivlav (NT, T), nästlav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