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56243-2024 i Älvsbyns kommun</w:t>
      </w:r>
    </w:p>
    <w:p>
      <w:r>
        <w:t>Detta klagomål behandlar höga naturvärden i avverkningsanmälan A 56243-2024 i Älvsbyns kommun som inkom 2024-11-28 och omfattar 3,1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6243-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7290488, E 782338 i SWEREF 99 TM.</w:t>
      </w:r>
    </w:p>
    <w:p>
      <w:r>
        <w:t>I och inom 25 meter från avverkningsanmälan finns fynd av 30 naturvårdsarter, varav 19 är rödlistade, 10 är fridlysta, 18 är typiska (T) och 4 är signalarter (S): garnlav (VU, T), knärot (VU, T, §8), spadskinn (VU), brunpudrad nållav (NT, T), dropptaggsvamp (NT, T), dvärgbägarlav (NT, T), gammelgransskål (NT, T), knottrig blåslav (NT, T), kolflarnlav (NT, T), lunglav (NT, T), motaggsvamp (NT, T), mörk kolflarnlav (NT), talltagel (NT, T), talltaggsvamp (NT), talltita (NT, §4), vaddporing (NT), vedflamlav (NT), vedskivlav (NT, T), vitplätt (NT), bollvitmossa (S, T), sotriska (S), spindelblomster (S, T, §8), vedticka (S, T), järpe (T, §4), spillkråka (T, §4), tjäder (T, §4), kungsfågel (§4), orre (§4), skogsödla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570139"/>
            <wp:docPr id="2" name="Picture 2"/>
            <wp:cNvGraphicFramePr>
              <a:graphicFrameLocks noChangeAspect="1"/>
            </wp:cNvGraphicFramePr>
            <a:graphic>
              <a:graphicData uri="http://schemas.openxmlformats.org/drawingml/2006/picture">
                <pic:pic>
                  <pic:nvPicPr>
                    <pic:cNvPr id="0" name="A 56243-2024 karta knärot.png"/>
                    <pic:cNvPicPr/>
                  </pic:nvPicPr>
                  <pic:blipFill>
                    <a:blip r:embed="rId17"/>
                    <a:stretch>
                      <a:fillRect/>
                    </a:stretch>
                  </pic:blipFill>
                  <pic:spPr>
                    <a:xfrm>
                      <a:off x="0" y="0"/>
                      <a:ext cx="5486400" cy="75701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7290488, E 782338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