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18646-2024 i Älvsbyns kommun</w:t>
      </w:r>
    </w:p>
    <w:p>
      <w:r>
        <w:t>Detta dokument behandlar höga naturvärden i avverkningsanmälan A 18646-2024 i Älvsbyns kommun. Denna avverkningsanmälan inkom 2024-05-13 00:00:00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blanksvart spiklav (NT), brunpudrad nållav (NT), gammelgransskål (NT), garnlav (NT), järpe (NT, §4), knottrig blåslav (NT), spillkråka (NT, §4), tallticka (NT), vedskivlav (NT), violmussling (NT), bollvitmossa (S), källpraktmossa (S), tallfingersvamp (S), vedticka (S) och lavskrika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7046"/>
            <wp:docPr id="1" name="Picture 1"/>
            <wp:cNvGraphicFramePr>
              <a:graphicFrameLocks noChangeAspect="1"/>
            </wp:cNvGraphicFramePr>
            <a:graphic>
              <a:graphicData uri="http://schemas.openxmlformats.org/drawingml/2006/picture">
                <pic:pic>
                  <pic:nvPicPr>
                    <pic:cNvPr id="0" name="A 18646-2024 karta.png"/>
                    <pic:cNvPicPr/>
                  </pic:nvPicPr>
                  <pic:blipFill>
                    <a:blip r:embed="rId16"/>
                    <a:stretch>
                      <a:fillRect/>
                    </a:stretch>
                  </pic:blipFill>
                  <pic:spPr>
                    <a:xfrm>
                      <a:off x="0" y="0"/>
                      <a:ext cx="5486400" cy="2767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7297261, E 781439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Fridlysta arter</w:t>
      </w:r>
    </w:p>
    <w:p>
      <w:r>
        <w:t>Följande fridlysta arter har sina livsmiljöer och växtplatser i den avverkningsanmälda skogen: järpe (NT, §4), spillkråka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