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22567-2025 i Älvsbyns kommun</w:t>
      </w:r>
    </w:p>
    <w:p>
      <w:r>
        <w:t>Detta dokument behandlar höga naturvärden i avverkningsanmälan A 22567-2025 i Älvsbyns kommun. Denna avverkningsanmälan inkom 2025-05-12 00:00:00 och omfattar 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rotfingersvamp (VU) och orange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6926"/>
            <wp:docPr id="1" name="Picture 1"/>
            <wp:cNvGraphicFramePr>
              <a:graphicFrameLocks noChangeAspect="1"/>
            </wp:cNvGraphicFramePr>
            <a:graphic>
              <a:graphicData uri="http://schemas.openxmlformats.org/drawingml/2006/picture">
                <pic:pic>
                  <pic:nvPicPr>
                    <pic:cNvPr id="0" name="A 22567-2025 karta.png"/>
                    <pic:cNvPicPr/>
                  </pic:nvPicPr>
                  <pic:blipFill>
                    <a:blip r:embed="rId16"/>
                    <a:stretch>
                      <a:fillRect/>
                    </a:stretch>
                  </pic:blipFill>
                  <pic:spPr>
                    <a:xfrm>
                      <a:off x="0" y="0"/>
                      <a:ext cx="5486400" cy="5066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7320191, E 744550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Rotfingersvamp (VU) </w:t>
      </w:r>
      <w:r>
        <w:t>bildar mykorrhiza med tall, i tallskog på sandiga marker särskilt på åssluttningar. Huvudsakligen förekommer den i norra Sverige, i äldre icke kalavverkad kontinuitetsskog. Rotfingersvamp är placerad högst upp i Skogsstyrelsens värdepyramid för bedömning av skog med höga naturvärden och globalt rödlistad som nära hotad (NT) vilket innebär att Sverige har ett internationellt ansvar för arten. Områden med arten bör skyddas och undantas från rationellt skogsbruk och slutavverkning, kraftig gallring och skogsgödsling måste helt undvikas (IUCN,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