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52981-2023 i Älvsbyns kommun</w:t>
      </w:r>
    </w:p>
    <w:p>
      <w:r>
        <w:t>Detta dokument behandlar höga naturvärden i avverkningsanmälan A 52981-2023 i Älvsbyns kommun. Denna avverkningsanmälan inkom 2023-10-27 00:00:00 och omfattar 34,4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17 naturvårdsarter hittats: doftticka (VU, §8), knärot (VU, §8), lappticka (VU), ostticka (VU), rynkskinn (VU), garnlav (NT), granticka (NT), lunglav (NT), rosenticka (NT), spillkråka (NT, §4), stjärntagging (NT), tretåig hackspett (NT, §4), ullticka (NT), vedtrappmossa (NT), äggvaxskivling (NT), skinnlav (S) och stuplav (S).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88401"/>
            <wp:docPr id="1" name="Picture 1"/>
            <wp:cNvGraphicFramePr>
              <a:graphicFrameLocks noChangeAspect="1"/>
            </wp:cNvGraphicFramePr>
            <a:graphic>
              <a:graphicData uri="http://schemas.openxmlformats.org/drawingml/2006/picture">
                <pic:pic>
                  <pic:nvPicPr>
                    <pic:cNvPr id="0" name="A 52981-2023 karta.png"/>
                    <pic:cNvPicPr/>
                  </pic:nvPicPr>
                  <pic:blipFill>
                    <a:blip r:embed="rId16"/>
                    <a:stretch>
                      <a:fillRect/>
                    </a:stretch>
                  </pic:blipFill>
                  <pic:spPr>
                    <a:xfrm>
                      <a:off x="0" y="0"/>
                      <a:ext cx="5486400" cy="4188401"/>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7306709, E 763247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 xml:space="preserve">Ostticka (VU) </w:t>
      </w:r>
      <w:r>
        <w:t>växer huvudsakligen på grova granlågor i urskogsartad barrskog. Växtplatserna ligger vanligtvis i brandrefugiala områden med relativt hög luftfuktighet där skogen under lång tid haft en intern beståndsdynamik med successivt avdöende träd. Alla skogsskötselåtgärder på eller i omedelbar närhet av lokalerna inverkar negativt på artens fortlevnad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Äggvaxskivling (NT)</w:t>
      </w:r>
      <w:r>
        <w:t xml:space="preserve"> bildar mykorrhiza med gran och förekommer huvudsakligen i äldre blåbärsgranskog. Har i Sverige en nordlig utbredningsbild och är relativt vanlig i norra Sverige. Total population i landet bedöms ha minskat kraftigt och fortgående att minska p.g.a. slutavverkningar av kontinuitetsskogar. Skogar med rik förekomst av äggvaxskivling brukar ha en artrik flora av mykorrhizasvampar och kan betraktas som nyckelbiotoper (SLU Artdatabanken, 2024).</w:t>
      </w:r>
    </w:p>
    <w:p>
      <w:pPr>
        <w:pStyle w:val="Heading1"/>
      </w:pPr>
      <w:r>
        <w:t>Fridlysta arter</w:t>
      </w:r>
    </w:p>
    <w:p>
      <w:r>
        <w:t>Följande fridlysta arter har sina livsmiljöer och växtplatser i den avverkningsanmälda skogen: doftticka (VU, §8), knärot (VU, §8), spillkråka (NT, §4) och tretåig hackspett (NT,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23 fyndplatser för knärot registrerade på Artportalen. Figur 2 visar gränserna för buffertzoner på 50 m, som behöver lämnas kring fyndplatserna för att knärotslokalerna inte ska försvinna vid en avverkning. Av det avverkningsanmälda området överlappar 7.25 ha med buffertzonerna och får av detta skäl inte avverkas.</w:t>
      </w:r>
    </w:p>
    <w:p>
      <w:pPr>
        <w:pStyle w:val="Caption"/>
      </w:pPr>
      <w:r>
        <w:drawing>
          <wp:inline xmlns:a="http://schemas.openxmlformats.org/drawingml/2006/main" xmlns:pic="http://schemas.openxmlformats.org/drawingml/2006/picture">
            <wp:extent cx="5486400" cy="5036411"/>
            <wp:docPr id="2" name="Picture 2"/>
            <wp:cNvGraphicFramePr>
              <a:graphicFrameLocks noChangeAspect="1"/>
            </wp:cNvGraphicFramePr>
            <a:graphic>
              <a:graphicData uri="http://schemas.openxmlformats.org/drawingml/2006/picture">
                <pic:pic>
                  <pic:nvPicPr>
                    <pic:cNvPr id="0" name="A 52981-2023 karta knärot.png"/>
                    <pic:cNvPicPr/>
                  </pic:nvPicPr>
                  <pic:blipFill>
                    <a:blip r:embed="rId17"/>
                    <a:stretch>
                      <a:fillRect/>
                    </a:stretch>
                  </pic:blipFill>
                  <pic:spPr>
                    <a:xfrm>
                      <a:off x="0" y="0"/>
                      <a:ext cx="5486400" cy="5036411"/>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7306709, E 763247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17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