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44 fyndplatser för knärot registrerade på Artportalen. Figur 2 visar gränserna för buffertzoner på 50 m, som behöver lämnas kring fyndplatserna för att knärotslokalerna inte ska försvinna vid en avverkning. Av det avverkningsanmälda området överlappar 5.92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