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16092-2024 i Älvsbyns kommun</w:t>
      </w:r>
    </w:p>
    <w:p>
      <w:r>
        <w:t>Detta dokument behandlar höga naturvärden i avverkningsanmälan A 16092-2024 i Älvsbyns kommun. Denna avverkningsanmälan inkom 2024-04-24 och omfattar 15,1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24 naturvårdsarter hittats: fläckporing (VU), gräddporing (VU), knärot (VU, §8), norna (VU, §7), gammelgransskål (NT), garnlav (NT), järpe (NT, §4), kolflarnlav (NT), kungsörn (NT, §4), mörk kolflarnlav (NT), spillkråka (NT, §4), tretåig hackspett (NT, §4), ullticka (NT), vitplätt (NT), gulnål (S), luddlav (S), plattlummer (S, §9), skinnlav (S), spindelblomster (S, §8), stuplav (S), tjäder (§4), brudsporre (§8), fläcknycklar (§8) och nattviol (§8). Av dessa är 14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67507"/>
            <wp:docPr id="1" name="Picture 1"/>
            <wp:cNvGraphicFramePr>
              <a:graphicFrameLocks noChangeAspect="1"/>
            </wp:cNvGraphicFramePr>
            <a:graphic>
              <a:graphicData uri="http://schemas.openxmlformats.org/drawingml/2006/picture">
                <pic:pic>
                  <pic:nvPicPr>
                    <pic:cNvPr id="0" name="A 16092-2024 karta.png"/>
                    <pic:cNvPicPr/>
                  </pic:nvPicPr>
                  <pic:blipFill>
                    <a:blip r:embed="rId16"/>
                    <a:stretch>
                      <a:fillRect/>
                    </a:stretch>
                  </pic:blipFill>
                  <pic:spPr>
                    <a:xfrm>
                      <a:off x="0" y="0"/>
                      <a:ext cx="5486400" cy="486750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7308604, E 762945 i SWEREF 99 TM.</w:t>
      </w:r>
    </w:p>
    <w:p>
      <w:r>
        <w:rPr>
          <w:b/>
        </w:rPr>
        <w:t>Fläckporing (VU)</w:t>
      </w:r>
      <w:r>
        <w:t xml:space="preserve"> är en mycket bra signalart som visar på tallnaturskogar med höga naturvärden. Den är placerad högst upp i Skogsstyrelsens värdepyramid för bedömning av skog med höga naturvärden och indikerar områden som är mer eller mindre opåverkade av skogsbruk och där det funnits en kontinuitet av tallågor i olika nedbrytningsstadier. För att på lång sikt bibehålla livskraftiga populationer i ett område behövs troligen större skyddade områden som tillåter att man upprätthåller en naturlig branddynamik (SLU Artdatabanken, 2024; Nitare &amp; Skogsstyrelsen, 2019).</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Fridlysta arter</w:t>
      </w:r>
    </w:p>
    <w:p>
      <w:r>
        <w:t>Följande fridlysta arter har sina livsmiljöer och växtplatser i den avverkningsanmälda skogen: knärot (VU, §8), norna (VU, §7), järpe (NT, §4), kungsörn (NT, §4), spillkråka (NT, §4), tretåig hackspett (NT, §4), plattlummer (S, §9), spindelblomster (S, §8), tjäder (§4), brudsporre (§8), fläcknycklar (§8) och nattviol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xml:space="preserve">,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19 fyndplatser för knärot registrerade på Artportalen. Figur 2 visar gränserna för buffertzoner på 50 m, som behöver lämnas kring fyndplatserna för att knärotslokalerna inte ska försvinna vid en avverkning. Av det avverkningsanmälda området överlappar 5.95 ha med buffertzonerna och får av detta skäl inte avverkas.</w:t>
      </w:r>
    </w:p>
    <w:p>
      <w:pPr>
        <w:pStyle w:val="Caption"/>
      </w:pPr>
      <w:r>
        <w:drawing>
          <wp:inline xmlns:a="http://schemas.openxmlformats.org/drawingml/2006/main" xmlns:pic="http://schemas.openxmlformats.org/drawingml/2006/picture">
            <wp:extent cx="5486400" cy="6051677"/>
            <wp:docPr id="2" name="Picture 2"/>
            <wp:cNvGraphicFramePr>
              <a:graphicFrameLocks noChangeAspect="1"/>
            </wp:cNvGraphicFramePr>
            <a:graphic>
              <a:graphicData uri="http://schemas.openxmlformats.org/drawingml/2006/picture">
                <pic:pic>
                  <pic:nvPicPr>
                    <pic:cNvPr id="0" name="A 16092-2024 karta knärot.png"/>
                    <pic:cNvPicPr/>
                  </pic:nvPicPr>
                  <pic:blipFill>
                    <a:blip r:embed="rId17"/>
                    <a:stretch>
                      <a:fillRect/>
                    </a:stretch>
                  </pic:blipFill>
                  <pic:spPr>
                    <a:xfrm>
                      <a:off x="0" y="0"/>
                      <a:ext cx="5486400" cy="605167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7308604, E 762945 i SWEREF 99 TM.</w:t>
      </w:r>
    </w:p>
    <w:p>
      <w:pPr>
        <w:pStyle w:val="Caption"/>
      </w:pPr>
    </w:p>
    <w:p>
      <w:r>
        <w:rPr>
          <w:b/>
        </w:rPr>
        <w:t xml:space="preserve">Norna (VU, §7) </w:t>
      </w:r>
      <w:r>
        <w:t>är strikt skyddad enligt EU:s art- och habitatdirektiv och fridlyst enligt §7 Artskyddsförordningen (bilaga 1) vilket innebär att hela dess livsmiljö ska bevaras. Den är rödlistad som nära hotad (NT) i den europeiska rödlistan och växer i frisk–fuktig, mossrik barrskog, oftast i små sänkor i granskog med hög bonitet. Växtplatsen utgörs nästan alltid av sluttningar med rikligt och rörligt markvatten. Underlaget är genomgående grönsten eller kalkrikt material. Nornan är känslig för alla större ingrepp i sin miljö och överlever därför vanligtvis inte slutavverkning. Den klarar inte den uttorkning av markens ytskikt som slutavverkning normalt medför och inte heller kvarlämnande av större mängd hyggesavfall. Populationen har minskat kraftigare än vad som tidigare varit känt och arten hamnade därför i en högre rödlistekategori 2020 (SLU Artdatabanken, 2024; IUCN, 2024).</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