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38620-2022 i Älvsbyns kommun</w:t>
      </w:r>
    </w:p>
    <w:p>
      <w:r>
        <w:t>Denna tillsynsbegäran behandlar höga naturvärden i avverkningsanmälan A 38620-2022 i Älvsbyns kommun som inkom 2022-09-09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16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2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16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7300300, E 744340 i SWEREF 99 TM.</w:t>
      </w:r>
    </w:p>
    <w:p>
      <w:r>
        <w:t>I avverkningsanmälan finns fynd av 1 naturvårdsarter, varav 1 är rödlistad och 1 är typisk (T): blå 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 taggsvamp (NT) </w:t>
      </w:r>
      <w:r>
        <w:t xml:space="preserve">är en karaktärsart i såväl örtrika kalkbarrskogar som i torra sandtallskogar där det föreligger gammal skog med långvarig trädkontinuitet. Är sällsynt och mycket kravfull i södra och mellersta Sverige. Den hotas främst av skogsavverkning och tycks försvinna efter slutavverkning, markberedning och plantering. I kalkgranskogar verkar arten vara mycket känslig. Granskogar med arten bör formellt skydddas. Blå taggsvamp (NT)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