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26733-2024 i Älvsbyns kommun</w:t>
      </w:r>
    </w:p>
    <w:p>
      <w:r>
        <w:t>Denna tillsynsbegäran behandlar höga naturvärden i avverkningsanmälan A 26733-2024 i Älvsbyns kommun som inkom 2024-06-27 och omfattar 7,5 ha.</w:t>
      </w:r>
    </w:p>
    <w:p>
      <w:pPr>
        <w:pStyle w:val="Caption"/>
      </w:pPr>
      <w:r>
        <w:drawing>
          <wp:inline xmlns:a="http://schemas.openxmlformats.org/drawingml/2006/main" xmlns:pic="http://schemas.openxmlformats.org/drawingml/2006/picture">
            <wp:extent cx="5486400" cy="3919665"/>
            <wp:docPr id="1" name="Picture 1"/>
            <wp:cNvGraphicFramePr>
              <a:graphicFrameLocks noChangeAspect="1"/>
            </wp:cNvGraphicFramePr>
            <a:graphic>
              <a:graphicData uri="http://schemas.openxmlformats.org/drawingml/2006/picture">
                <pic:pic>
                  <pic:nvPicPr>
                    <pic:cNvPr id="0" name="A 26733-2024 karta.png"/>
                    <pic:cNvPicPr/>
                  </pic:nvPicPr>
                  <pic:blipFill>
                    <a:blip r:embed="rId16"/>
                    <a:stretch>
                      <a:fillRect/>
                    </a:stretch>
                  </pic:blipFill>
                  <pic:spPr>
                    <a:xfrm>
                      <a:off x="0" y="0"/>
                      <a:ext cx="5486400" cy="3919665"/>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7295368, E 741666 i SWEREF 99 TM.</w:t>
      </w:r>
    </w:p>
    <w:p>
      <w:r>
        <w:t>I och inom 21 meter från avverkningsanmälan finns fynd av 14 naturvårdsarter, varav 13 är rödlistade, 1 är fridlyst och 7 är typiska (T): gräddporing (VU, T), rotfingersvamp (VU), skrovlig taggsvamp (VU), smalfotad taggsvamp (VU), tajgataggsvamp (VU), blå taggsvamp (NT, T), dropptaggsvamp (NT, T), kolflarnlav (NT, T), motaggsvamp (NT, T), orange taggsvamp (NT, T), skarp dropptaggsvamp (NT), tallriska (NT), vaddporing (NT)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 xml:space="preserve">Rotfingersvamp (VU) </w:t>
      </w:r>
      <w:r>
        <w:t>bildar mykorrhiza med tall, i tallskog på sandiga marker särskilt på åssluttningar. Huvudsakligen förekommer den i norra Sverige, i äldre icke kalavverkad kontinuitetsskog. Rotfingersvamp är placerad högst upp i Skogsstyrelsens värdepyramid för bedömning av skog med höga naturvärden och globalt rödlistad som nära hotad (NT) vilket innebär att Sverige har ett internationellt ansvar för arten. Områden med arten bör skyddas och undantas från rationellt skogsbruk och slutavverkning, kraftig gallring och skogsgödsling måste helt undvikas (IUCN, 2025;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gräddporing (VU, T), blå taggsvamp (NT, T), dropptaggsvamp (NT, T), kolflarnlav (NT, T), motaggsvamp (NT, T), orange taggsvamp (NT,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