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45432-2025 i Älvsbyns kommun</w:t>
      </w:r>
    </w:p>
    <w:p>
      <w:r>
        <w:t>Detta klagomål behandlar höga naturvärden i avverkningsanmälan A 45432-2025 i Älvsbyns kommun som inkom 2025-09-22 och omfattar 11,9 ha.</w:t>
      </w:r>
    </w:p>
    <w:p>
      <w:pPr>
        <w:pStyle w:val="Caption"/>
      </w:pPr>
      <w:r>
        <w:drawing>
          <wp:inline xmlns:a="http://schemas.openxmlformats.org/drawingml/2006/main" xmlns:pic="http://schemas.openxmlformats.org/drawingml/2006/picture">
            <wp:extent cx="5174539" cy="5724000"/>
            <wp:docPr id="1" name="Picture 1"/>
            <wp:cNvGraphicFramePr>
              <a:graphicFrameLocks noChangeAspect="1"/>
            </wp:cNvGraphicFramePr>
            <a:graphic>
              <a:graphicData uri="http://schemas.openxmlformats.org/drawingml/2006/picture">
                <pic:pic>
                  <pic:nvPicPr>
                    <pic:cNvPr id="0" name="A 45432-2025 karta.png"/>
                    <pic:cNvPicPr/>
                  </pic:nvPicPr>
                  <pic:blipFill>
                    <a:blip r:embed="rId16"/>
                    <a:stretch>
                      <a:fillRect/>
                    </a:stretch>
                  </pic:blipFill>
                  <pic:spPr>
                    <a:xfrm>
                      <a:off x="0" y="0"/>
                      <a:ext cx="51745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7289292, E 768292 i SWEREF 99 TM.</w:t>
      </w:r>
    </w:p>
    <w:p>
      <w:r>
        <w:t>I avverkningsanmälan finns fynd av 16 naturvårdsarter, varav 10 är rödlistade, 6 är fridlysta, 10 är typiska (T) och 2 är signalarter (S): garnlav (VU, T), knärot (VU, T, §8), smalfotad taggsvamp (VU), tajgataggsvamp (VU), dropptaggsvamp (NT, T), kolflarnlav (NT, T), mörk kolflarnlav (NT), talltagel (NT, T), tretåig hackspett (NT, T, §4), vaddporing (NT), nästlav (S, T), stuplav (S, T), järpe (T, §4), spillkråka (T,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823880"/>
            <wp:docPr id="2" name="Picture 2"/>
            <wp:cNvGraphicFramePr>
              <a:graphicFrameLocks noChangeAspect="1"/>
            </wp:cNvGraphicFramePr>
            <a:graphic>
              <a:graphicData uri="http://schemas.openxmlformats.org/drawingml/2006/picture">
                <pic:pic>
                  <pic:nvPicPr>
                    <pic:cNvPr id="0" name="A 45432-2025 karta knärot.png"/>
                    <pic:cNvPicPr/>
                  </pic:nvPicPr>
                  <pic:blipFill>
                    <a:blip r:embed="rId17"/>
                    <a:stretch>
                      <a:fillRect/>
                    </a:stretch>
                  </pic:blipFill>
                  <pic:spPr>
                    <a:xfrm>
                      <a:off x="0" y="0"/>
                      <a:ext cx="5486400" cy="58238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7289292, E 768292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