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26766-2026 i Älvsbyns kommun</w:t>
      </w:r>
    </w:p>
    <w:p>
      <w:r>
        <w:t>Denna tillsynsbegäran behandlar höga naturvärden i avverkningsanmälan A 26766-2026 i Älvsbyns kommun som inkom 2026-06-11 och omfattar 10,8 ha.</w:t>
      </w:r>
    </w:p>
    <w:p>
      <w:pPr>
        <w:pStyle w:val="Caption"/>
      </w:pPr>
      <w:r>
        <w:drawing>
          <wp:inline xmlns:a="http://schemas.openxmlformats.org/drawingml/2006/main" xmlns:pic="http://schemas.openxmlformats.org/drawingml/2006/picture">
            <wp:extent cx="5486400" cy="3429471"/>
            <wp:docPr id="1" name="Picture 1"/>
            <wp:cNvGraphicFramePr>
              <a:graphicFrameLocks noChangeAspect="1"/>
            </wp:cNvGraphicFramePr>
            <a:graphic>
              <a:graphicData uri="http://schemas.openxmlformats.org/drawingml/2006/picture">
                <pic:pic>
                  <pic:nvPicPr>
                    <pic:cNvPr id="0" name="A 26766-2026 karta.png"/>
                    <pic:cNvPicPr/>
                  </pic:nvPicPr>
                  <pic:blipFill>
                    <a:blip r:embed="rId16"/>
                    <a:stretch>
                      <a:fillRect/>
                    </a:stretch>
                  </pic:blipFill>
                  <pic:spPr>
                    <a:xfrm>
                      <a:off x="0" y="0"/>
                      <a:ext cx="5486400" cy="3429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7318803, E 739346 i SWEREF 99 TM.</w:t>
      </w:r>
    </w:p>
    <w:p>
      <w:r>
        <w:t>I avverkningsanmälan finns fynd av 6 naturvårdsarter, varav 5 är rödlistade, 5 är typiska (T) och 1 är signalart (S): goliatmusseron (VU, T), blå taggsvamp (NT, T), dropptaggsvamp (NT, T), orange taggsvamp (NT, T), skarp dropptaggsvamp (NT)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dropptaggsvamp (NT, T), orange taggsvamp (NT,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