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3573-2024 i Älvsbyns kommun</w:t>
      </w:r>
    </w:p>
    <w:p>
      <w:r>
        <w:t>Denna tillsynsbegäran behandlar höga naturvärden i avverkningsanmälan A 3573-2024 i Älvsbyns kommun som inkom 2024-01-29 och omfattar 5,5 ha.</w:t>
      </w:r>
    </w:p>
    <w:p>
      <w:pPr>
        <w:pStyle w:val="Caption"/>
      </w:pPr>
      <w:r>
        <w:drawing>
          <wp:inline xmlns:a="http://schemas.openxmlformats.org/drawingml/2006/main" xmlns:pic="http://schemas.openxmlformats.org/drawingml/2006/picture">
            <wp:extent cx="5082755" cy="5724000"/>
            <wp:docPr id="1" name="Picture 1"/>
            <wp:cNvGraphicFramePr>
              <a:graphicFrameLocks noChangeAspect="1"/>
            </wp:cNvGraphicFramePr>
            <a:graphic>
              <a:graphicData uri="http://schemas.openxmlformats.org/drawingml/2006/picture">
                <pic:pic>
                  <pic:nvPicPr>
                    <pic:cNvPr id="0" name="A 3573-2024 karta.png"/>
                    <pic:cNvPicPr/>
                  </pic:nvPicPr>
                  <pic:blipFill>
                    <a:blip r:embed="rId16"/>
                    <a:stretch>
                      <a:fillRect/>
                    </a:stretch>
                  </pic:blipFill>
                  <pic:spPr>
                    <a:xfrm>
                      <a:off x="0" y="0"/>
                      <a:ext cx="508275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7308162, E 763039 i SWEREF 99 TM.</w:t>
      </w:r>
    </w:p>
    <w:p>
      <w:r>
        <w:t>I och inom 25 meter från avverkningsanmälan finns fynd av 22 naturvårdsarter, varav 15 är rödlistade, 6 är fridlysta, 12 är typiska (T) och 4 är signalarter (S): goliatmusseron (VU, T), knärot (VU, T, §8), lammticka (VU), norna (VU, T, §7), skrovlig taggsvamp (VU), torrmusseron (VU), blå taggsvamp (NT, T), dropptaggsvamp (NT, T), kolflarnlav (NT, T), mörk kolflarnlav (NT), orange taggsvamp (NT, T), tallriska (NT), talltaggsvamp (NT), vedflamlav (NT), äggvaxskivling (NT), källpraktmossa (S, T), norrlandslav (S, T), plattlummer (S, T, §9), stuplav (S, T), spillkråka (T, §4),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3.00 ha med buffertzonerna och får av detta skäl inte avverkas.</w:t>
      </w:r>
    </w:p>
    <w:p>
      <w:pPr>
        <w:pStyle w:val="Caption"/>
      </w:pPr>
      <w:r>
        <w:drawing>
          <wp:inline xmlns:a="http://schemas.openxmlformats.org/drawingml/2006/main" xmlns:pic="http://schemas.openxmlformats.org/drawingml/2006/picture">
            <wp:extent cx="5486400" cy="8588179"/>
            <wp:docPr id="2" name="Picture 2"/>
            <wp:cNvGraphicFramePr>
              <a:graphicFrameLocks noChangeAspect="1"/>
            </wp:cNvGraphicFramePr>
            <a:graphic>
              <a:graphicData uri="http://schemas.openxmlformats.org/drawingml/2006/picture">
                <pic:pic>
                  <pic:nvPicPr>
                    <pic:cNvPr id="0" name="A 3573-2024 karta knärot.png"/>
                    <pic:cNvPicPr/>
                  </pic:nvPicPr>
                  <pic:blipFill>
                    <a:blip r:embed="rId17"/>
                    <a:stretch>
                      <a:fillRect/>
                    </a:stretch>
                  </pic:blipFill>
                  <pic:spPr>
                    <a:xfrm>
                      <a:off x="0" y="0"/>
                      <a:ext cx="5486400" cy="85881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7308162, E 763039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knärot (VU, T, §8), norna (VU, T, §7), blå taggsvamp (NT, T), dropptaggsvamp (NT, T), kolflarnlav (NT, T), orange taggsvamp (NT, T), källpraktmossa (S, T), norrlandslav (S, T), plattlummer (S, T, §9),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