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22414-2026 i Älvsbyns kommun</w:t>
      </w:r>
    </w:p>
    <w:p>
      <w:r>
        <w:t>Detta klagomål behandlar höga naturvärden i avverkningsanmälan A 22414-2026 i Älvsbyns kommun som inkom 2026-05-12 och omfattar 11,6 ha.</w:t>
      </w:r>
    </w:p>
    <w:p>
      <w:pPr>
        <w:pStyle w:val="Caption"/>
      </w:pPr>
      <w:r>
        <w:drawing>
          <wp:inline xmlns:a="http://schemas.openxmlformats.org/drawingml/2006/main" xmlns:pic="http://schemas.openxmlformats.org/drawingml/2006/picture">
            <wp:extent cx="5486400" cy="4548554"/>
            <wp:docPr id="1" name="Picture 1"/>
            <wp:cNvGraphicFramePr>
              <a:graphicFrameLocks noChangeAspect="1"/>
            </wp:cNvGraphicFramePr>
            <a:graphic>
              <a:graphicData uri="http://schemas.openxmlformats.org/drawingml/2006/picture">
                <pic:pic>
                  <pic:nvPicPr>
                    <pic:cNvPr id="0" name="A 22414-2026 karta.png"/>
                    <pic:cNvPicPr/>
                  </pic:nvPicPr>
                  <pic:blipFill>
                    <a:blip r:embed="rId16"/>
                    <a:stretch>
                      <a:fillRect/>
                    </a:stretch>
                  </pic:blipFill>
                  <pic:spPr>
                    <a:xfrm>
                      <a:off x="0" y="0"/>
                      <a:ext cx="5486400" cy="4548554"/>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7298339, E 750014 i SWEREF 99 TM.</w:t>
      </w:r>
    </w:p>
    <w:p>
      <w:r>
        <w:t>I och inom 13 meter från avverkningsanmälan finns fynd av 23 naturvårdsarter, varav 16 är rödlistade, 3 är fridlysta, 17 är typiska (T) och 7 är signalarter (S): garnlav (VU, T), knärot (VU, T, §8), blågrå svartspik (NT), dropptaggsvamp (NT, T), dvärgbägarlav (NT, T), gammelgransskål (NT, T), kolflarnlav (NT, T), mörk kolflarnlav (NT), nordtagging (NT), rosenticka (NT, T), tretåig hackspett (NT, T, §4), vedflamlav (NT), vedskivlav (NT, T), vedtrappmossa (NT, T), vitgrynig nållav (NT), vitplätt (NT), bollvitmossa (S, T), grönpyrola (S, T), källpraktmossa (S, T), lappranunkel (S, T, §7), skinnlav (S, T), vedticka (S, T) och ögonpyrola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2.14 ha med buffertzonerna och får av detta skäl inte avverkas.</w:t>
      </w:r>
    </w:p>
    <w:p>
      <w:pPr>
        <w:pStyle w:val="Caption"/>
      </w:pPr>
      <w:r>
        <w:drawing>
          <wp:inline xmlns:a="http://schemas.openxmlformats.org/drawingml/2006/main" xmlns:pic="http://schemas.openxmlformats.org/drawingml/2006/picture">
            <wp:extent cx="5486400" cy="5801390"/>
            <wp:docPr id="2" name="Picture 2"/>
            <wp:cNvGraphicFramePr>
              <a:graphicFrameLocks noChangeAspect="1"/>
            </wp:cNvGraphicFramePr>
            <a:graphic>
              <a:graphicData uri="http://schemas.openxmlformats.org/drawingml/2006/picture">
                <pic:pic>
                  <pic:nvPicPr>
                    <pic:cNvPr id="0" name="A 22414-2026 karta knärot.png"/>
                    <pic:cNvPicPr/>
                  </pic:nvPicPr>
                  <pic:blipFill>
                    <a:blip r:embed="rId17"/>
                    <a:stretch>
                      <a:fillRect/>
                    </a:stretch>
                  </pic:blipFill>
                  <pic:spPr>
                    <a:xfrm>
                      <a:off x="0" y="0"/>
                      <a:ext cx="5486400" cy="580139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7298339, E 750014 i SWEREF 99 TM.</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23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23 naturvårdsarter varav 16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