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53002-2025 i Luleå kommun</w:t>
      </w:r>
    </w:p>
    <w:p>
      <w:r>
        <w:t>Denna tillsynsbegäran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25 meter från avverkningsanmälan finns fynd av 30 naturvårdsarter, varav 17 är rödlistade, 10 är fridlysta, 14 är typiska (T) och 5 är signalarter (S): blyspindling (EN), trillingspindling (EN), knärot (VU, T, §8), skrovlig taggsvamp (VU), barrfagerspindling (NT), blå taggsvamp (NT, T), dropptaggsvamp (NT, T), fjällig taggsvamp s.str. (NT), lavskrika (NT, T, §4), mjölsvärting (NT), persiljespindling (NT), skarp dropptaggsvamp (NT), sotvaxskivling (NT), stiftgelélav (NT, T), tallfingersvamp (NT), talltaggsvamp (NT), talltita (NT, §4), nästlav (S, T), rävticka (S, T), skinnlav (S, T), vedticka (S, T), ögonpyrola (S, T), järpe (T, §4), kransmossa (T), spillkråka (T, §4), tjäder (T, §4), orre (§4), huggorm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Trillingspindling (EN)</w:t>
      </w:r>
      <w:r>
        <w:t xml:space="preserve"> är en starkt hotad art som bildar mykorrhiza med gran i kalkbarrskog. Huvudsakligen knuten till äldre skog på frisk till fuktig mark med basisk påverkan. Den svenska och finska populationen utgör artens kärnområde ur ett europeiskt perspektiv. Arten påverkas negativt av brist på kontinuitetsskog och den totala populationen i landet bedöms ha minskat och förväntas fortsätta minska på grund av slutavverkning av äldre kalkbarrskog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8.72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lavskrika (NT, T, §4), stiftgelélav (NT, T), nästlav (S, T), rävticka (S, T), skinnlav (S, T), vedticka (S, T), ögonpyrola (S, T),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