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15447-2024 i Luleå kommun</w:t>
      </w:r>
    </w:p>
    <w:p>
      <w:r>
        <w:t>Detta dokument behandlar höga naturvärden i avverkningsanmälan A 15447-2024 i Luleå kommun. Denna avverkningsanmälan inkom 2024-04-18 och omfattar 44,1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58 naturvårdsarter hittats: raggtaggsvamp (EN), borgsjömusseron (VU), knärot (VU, §8), läderdoftande fingersvamp (VU), norna (VU, §7), spricktaggsvamp (VU), torrmusseron (VU), tvillingspindling (VU), blå taggsvamp (NT), brunpudrad nållav (NT), druvfingersvamp (NT), flattoppad klubbsvamp (NT), frygisk spindling (NT), gammelgransskål (NT), garnlav (NT), gransotdyna (NT), grantaggsvamp (NT), granticka (NT), gröntagging (NT), harticka (NT), järpe (NT, §4), Leptoporus mollis (NT), lunglav (NT), orange taggsvamp (NT), spillkråka (NT, §4), stjärntagging (NT), svart taggsvamp (NT), svartvit taggsvamp (NT), tallriska (NT), tallticka (NT), talltita (NT, §4), ullticka (NT), vaxspindling (NT), vitgrynig nållav (NT), vitskaftad svartspik (NT), äggvaxskivling (NT), filttagging (DD), bårdlav (S), dropptaggsvamp (S), grönpyrola (S), gullgröppa (S), källpraktmossa (S), luddlav (S), plattlummer (S, §9), rödgul trumpetsvamp (S), rökmusseron (S), skinnlav (S), spindelblomster (S, §8), strimspindling (S), tallfingersvamp (S), tibast (S), tjockfotad fingersvamp (S), vedticka (S), ögonpyrola (S), tjäder (§4), vanlig padda (§6), fläcknycklar (§8) och revlummer (§9). Av dessa är 37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15447-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7328799, E 828308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Frygisk spindling (NT) </w:t>
      </w:r>
      <w:r>
        <w:t>bildar mykorrhiza med tall, i kalktallskog och lavtallskog på torr, sandig och kalkrik mark. Kalavverkning eller andra åtgärder inom skogsbruket som innebär att trädkontinuiteten bryts är det mest påtagliga hotet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Gröntagging (NT) </w:t>
      </w:r>
      <w:r>
        <w:t>förekommer i äldre grandominerad blandskog men ekologin är fortfarande något oklar. Dock verkar arten fodra växtplatser med hög luftfuktighet och mycket död ved och kontinuitet i träd- och buskskikt, miljöer som minskar i landskapet. Arten är sällsynt och kan missgynnas av att ett alltför ensidigt skogsbruk gynnar barrträd och att därför näringsrika blandskogar försvinner. Några av artens växtplatser bör skyddas och inventeras för att klarlägga artens ekologi och de lokala populationernas storlek och dynamik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norna (VU, §7), järpe (NT, §4), spillkråka (NT, §4), talltita (NT, §4), plattlummer (S, §9), spindelblomster (S, §8), tjäder (§4),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299 fyndplatser för knärot registrerade på Artportalen. Figur 2 visar gränserna för buffertzoner på 50 m, som behöver lämnas kring fyndplatserna för att knärotslokalerna inte ska försvinna vid en avverkning. Av det avverkningsanmälda området överlappar 30.82 ha med buffertzonerna och får av detta skäl inte avverkas.</w:t>
      </w:r>
    </w:p>
    <w:p>
      <w:pPr>
        <w:pStyle w:val="Caption"/>
      </w:pPr>
      <w:r>
        <w:drawing>
          <wp:inline xmlns:a="http://schemas.openxmlformats.org/drawingml/2006/main" xmlns:pic="http://schemas.openxmlformats.org/drawingml/2006/picture">
            <wp:extent cx="5486400" cy="8874162"/>
            <wp:docPr id="2" name="Picture 2"/>
            <wp:cNvGraphicFramePr>
              <a:graphicFrameLocks noChangeAspect="1"/>
            </wp:cNvGraphicFramePr>
            <a:graphic>
              <a:graphicData uri="http://schemas.openxmlformats.org/drawingml/2006/picture">
                <pic:pic>
                  <pic:nvPicPr>
                    <pic:cNvPr id="0" name="A 15447-2024 karta knärot.png"/>
                    <pic:cNvPicPr/>
                  </pic:nvPicPr>
                  <pic:blipFill>
                    <a:blip r:embed="rId17"/>
                    <a:stretch>
                      <a:fillRect/>
                    </a:stretch>
                  </pic:blipFill>
                  <pic:spPr>
                    <a:xfrm>
                      <a:off x="0" y="0"/>
                      <a:ext cx="5486400" cy="88741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7328799, E 828308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58 naturvårdsarter varav 37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