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53002-2025 i Luleå kommun</w:t>
      </w:r>
    </w:p>
    <w:p>
      <w:r>
        <w:t>Denna tillsynsbegäran behandlar höga naturvärden i avverkningsanmälan A 53002-2025 i Luleå kommun som inkom 2025-10-27 och omfattar 19,7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53002-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7330821, E 830616 i SWEREF 99 TM.</w:t>
      </w:r>
    </w:p>
    <w:p>
      <w:r>
        <w:t>I och inom 25 meter från avverkningsanmälan finns fynd av 30 naturvårdsarter, varav 17 är rödlistade, 10 är fridlysta, 14 är typiska (T) och 5 är signalarter (S): blyspindling (EN), trillingspindling (EN), knärot (VU, T, §8), skrovlig taggsvamp (VU), barrfagerspindling (NT), blå taggsvamp (NT, T), dropptaggsvamp (NT, T), fjällig taggsvamp s.str. (NT), lavskrika (NT, T, §4), mjölsvärting (NT), persiljespindling (NT), skarp dropptaggsvamp (NT), sotvaxskivling (NT), stiftgelélav (NT, T), tallfingersvamp (NT), talltaggsvamp (NT), talltita (NT, §4), nästlav (S, T), rävticka (S, T), skinnlav (S, T), vedticka (S, T), ögonpyrola (S, T), järpe (T, §4), kransmossa (T), spillkråka (T, §4), tjäder (T, §4), orre (§4), huggorm (§6),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Trillingspindling (EN)</w:t>
      </w:r>
      <w:r>
        <w:t xml:space="preserve"> är en starkt hotad art som bildar mykorrhiza med gran i kalkbarrskog. Huvudsakligen knuten till äldre skog på frisk till fuktig mark med basisk påverkan. Den svenska och finska populationen utgör artens kärnområde ur ett europeiskt perspektiv. Arten påverkas negativt av brist på kontinuitetsskog och den totala populationen i landet bedöms ha minskat och förväntas fortsätta minska på grund av slutavverkning av äldre kalkbarrskog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8.72 ha med buffertzonerna och får av detta skäl inte avverkas.</w:t>
      </w:r>
    </w:p>
    <w:p>
      <w:pPr>
        <w:pStyle w:val="Caption"/>
      </w:pPr>
      <w:r>
        <w:drawing>
          <wp:inline xmlns:a="http://schemas.openxmlformats.org/drawingml/2006/main" xmlns:pic="http://schemas.openxmlformats.org/drawingml/2006/picture">
            <wp:extent cx="5486400" cy="6575545"/>
            <wp:docPr id="2" name="Picture 2"/>
            <wp:cNvGraphicFramePr>
              <a:graphicFrameLocks noChangeAspect="1"/>
            </wp:cNvGraphicFramePr>
            <a:graphic>
              <a:graphicData uri="http://schemas.openxmlformats.org/drawingml/2006/picture">
                <pic:pic>
                  <pic:nvPicPr>
                    <pic:cNvPr id="0" name="A 53002-2025 karta knärot.png"/>
                    <pic:cNvPicPr/>
                  </pic:nvPicPr>
                  <pic:blipFill>
                    <a:blip r:embed="rId17"/>
                    <a:stretch>
                      <a:fillRect/>
                    </a:stretch>
                  </pic:blipFill>
                  <pic:spPr>
                    <a:xfrm>
                      <a:off x="0" y="0"/>
                      <a:ext cx="5486400" cy="65755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7330821, E 830616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lavskrika (NT, T, §4), stiftgelélav (NT, T), nästlav (S, T), rävticka (S, T), skinnlav (S, T), vedticka (S, T), ögonpyrola (S, T), järpe (T, §4), kransmossa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