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29381-2025 i Luleå kommun</w:t>
      </w:r>
    </w:p>
    <w:p>
      <w:r>
        <w:t>Denna tillsynsbegäran behandlar höga naturvärden i avverkningsanmälan A 29381-2025 i Luleå kommun som inkom 2025-06-16 och omfattar 1,5 ha.</w:t>
      </w:r>
    </w:p>
    <w:p>
      <w:pPr>
        <w:pStyle w:val="Caption"/>
      </w:pPr>
      <w:r>
        <w:drawing>
          <wp:inline xmlns:a="http://schemas.openxmlformats.org/drawingml/2006/main" xmlns:pic="http://schemas.openxmlformats.org/drawingml/2006/picture">
            <wp:extent cx="4398235" cy="5724000"/>
            <wp:docPr id="1" name="Picture 1"/>
            <wp:cNvGraphicFramePr>
              <a:graphicFrameLocks noChangeAspect="1"/>
            </wp:cNvGraphicFramePr>
            <a:graphic>
              <a:graphicData uri="http://schemas.openxmlformats.org/drawingml/2006/picture">
                <pic:pic>
                  <pic:nvPicPr>
                    <pic:cNvPr id="0" name="A 29381-2025 karta.png"/>
                    <pic:cNvPicPr/>
                  </pic:nvPicPr>
                  <pic:blipFill>
                    <a:blip r:embed="rId16"/>
                    <a:stretch>
                      <a:fillRect/>
                    </a:stretch>
                  </pic:blipFill>
                  <pic:spPr>
                    <a:xfrm>
                      <a:off x="0" y="0"/>
                      <a:ext cx="439823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7319635, E 843886 i SWEREF 99 TM.</w:t>
      </w:r>
    </w:p>
    <w:p>
      <w:r>
        <w:t>I avverkningsanmälan finns fynd av 3 naturvårdsarter, varav 1 är rödlistad, 3 är fridlysta och 1 är typisk (T): bivråk (NT, §4), gråspett (T, §4) och havsörn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Bivråk (NT, §4)</w:t>
      </w:r>
      <w:r>
        <w:t xml:space="preserve"> ingår i bilaga 1 i EU:s fågeldirektiv och är prioriterad art i Skogsvårdslagen. Den har minskat med 2/3-delar sedan 1970-talet och under de senaste 30 åren har minskningstakten uppgått till 22.5 (15–30) %. Arten häckar i tät, ogallrad skog på högproduktiv mark, i södra Sverige främst i lövskogsrika trakter, i Norrland till stor del i högproduktiv granskog, Födan består av getinglarver och -puppor, men även av fågelungar och groddjur. Bivråken påverkas negativt av avverkning och omföring av lövträdsrika marker till täta produktionsskogar av barrträd samt av den allmänna "</w:t>
      </w:r>
      <w:r>
        <w:rPr>
          <w:i/>
        </w:rPr>
        <w:t>förtorkningen</w:t>
      </w:r>
      <w:r>
        <w:t>" av landskapet genom täckdikning, dikning av skogsmark etc. Bevara lövskogar och öka andelen löv i barrskog. Gallra inte i onödan och inte alls i sumpskog. Dika inte ut vattensamlingar, sumpskogar, alkärr eller andra våta miljöer. Kring alla boplatser ska det lämnas en skyddszon vid avverkning eller andra skogliga åtgärder. Som tumregel ska skyddszonen vara så bred att boet inte syns väl från öppen mark. Minskningstakten för den svenska populationen bedöms vara nära gränsvärdet för Sårbar (VU) (SLU Artdatabanken, 2026; Skogsstyrelsen, 2016).</w:t>
      </w:r>
    </w:p>
    <w:p>
      <w:r>
        <w:rPr>
          <w:b/>
        </w:rPr>
        <w:t>Gråspett (§4)</w:t>
      </w:r>
      <w:r>
        <w:t xml:space="preserve"> är fridlyst enligt 4§ artskyddsförordningen och upptagen i bilaga 1 fågeldirektivet. Gråspetten är en bra indikator för lövrika områden på landskapsnivå och försvinner när gles, flerskiktad, lövrik skog med hög andel döda och döende träd ersätts av täta, barrdominerade likåldriga bestånd. Arten missgynnas av skogliga åtgärder som minskar mängden död ved, som t.ex. bortrensning av vindfällen, avverkning i sumpskogsmiljöer och på brandfält. Häckningsreviret är stort, cirka 50–100 hektar. Under vintern är gråspetten mer beroende av äldre skog och döda träd och kan då röra sig över betydligt större områden, uppemot 2000–5000 hektar. Gråspett är typisk art för </w:t>
      </w:r>
      <w:r>
        <w:rPr>
          <w:i/>
        </w:rPr>
        <w:t xml:space="preserve">9010 Taiga </w:t>
      </w:r>
      <w:r>
        <w:t>(Skogsstyrelsen, 2016; SLU Artdatabanken, 2025).</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Bivråk – ekologi samt krav på livsmiljön</w:t>
      </w:r>
    </w:p>
    <w:p>
      <w:r>
        <w:t>Bivråk (NT, §4) ingår i bilaga 1 i EU:s fågeldirektiv och är prioriterad art i Skogsvårdslagen. Den har minskat med 2/3-delar sedan 1970-talet och under de senaste 30 åren har minskningstakten uppgått till 22.5 (15–30) %. Minskningstakten för den svenska populationen bedöms vara nära gränsvärdet för Sårbar (VU) (SLU Artdatabanken, 2026).</w:t>
      </w:r>
    </w:p>
    <w:p>
      <w:r>
        <w:t>Arten häckar i tät, ogallrad skog på högproduktiv mark, i södra Sverige främst i lövskogsrika trakter, i Norrland till stor del i högproduktiv granskog, Födan består av getinglarver och -puppor, men även av fågelungar och groddjur. (SLU Artdatabanken, 2026).</w:t>
      </w:r>
    </w:p>
    <w:p>
      <w:r>
        <w:t>En trolig delförklaring till minskande bivråksstammar är att det i dagens skogs- och jordbruksbygder finns ett sämre utbud av insektsrika biotoper jämfört med förhållandena för 20–40 år sedan. Minskad insektsrikedom innebär förmodligen en lägre täthet av sociala getingsamhällen och därmed sämre förutsättningar för bivråkens häckning. En allmän "</w:t>
      </w:r>
      <w:r>
        <w:rPr>
          <w:i/>
        </w:rPr>
        <w:t>förtorkning</w:t>
      </w:r>
      <w:r>
        <w:t>" av landskapet (täckdikning, dikning av skogsmark etc.) liksom omföring av lövträdsrika marker till täta produktionsskogar av barrträd medför dessutom en försämrad förekomst av tättingar (trastar etc.) och grodor, vilket sannolikt påverkar bivråken negativt. (SLU Artdatabanken, 2026).</w:t>
      </w:r>
    </w:p>
    <w:p>
      <w:r>
        <w:t>Bevara lövskogar och öka andelen löv i barrskog. Gallra inte i onödan och inte alls i sumpskog. Dika inte ut vattensamlingar, sumpskogar, alkärr eller andra våta miljöer. Kring alla boplatser ska det lämnas en skyddszon vid avverkning eller andra skogliga åtgärder. Som tumregel ska skyddszonen vara så bred att boet inte syns väl från öppen mark (SLU Artdatabanken, 2026; Skogsstyrelsen, 2016).</w:t>
      </w:r>
    </w:p>
    <w:p>
      <w:pPr>
        <w:pStyle w:val="Heading2"/>
      </w:pPr>
      <w:r>
        <w:t>Referenser – bivråk</w:t>
      </w:r>
    </w:p>
    <w:p>
      <w:r>
        <w:t xml:space="preserve">Skogsstyrelsen, 2016. </w:t>
      </w:r>
      <w:r>
        <w:rPr>
          <w:i/>
        </w:rPr>
        <w:t>Vägledning för hänsyn till bivråk.</w:t>
      </w:r>
    </w:p>
    <w:p>
      <w:r>
        <w:t xml:space="preserve">SLU Artdatabanken, 2026. </w:t>
      </w:r>
      <w:r>
        <w:rPr>
          <w:i/>
        </w:rPr>
        <w:t xml:space="preserve">Artfaktablad. Naturvård – artfakta. </w:t>
      </w:r>
      <w:r>
        <w:t>SLU Artdatabanken, Uppsala</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