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15447-2024 i Luleå kommun</w:t>
      </w:r>
    </w:p>
    <w:p>
      <w:r>
        <w:t>Detta dokument behandlar höga naturvärden i avverkningsanmälan A 15447-2024 i Luleå kommun. Denna avverkningsanmälan inkom 2024-04-18 och omfattar 44,1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58 naturvårdsarter hittats: raggtaggsvamp (EN), borgsjömusseron (VU), knärot (VU, §8), läderdoftande fingersvamp (VU), norna (VU, §7), spricktaggsvamp (VU), torrmusseron (VU), tvillingspindling (VU), blå taggsvamp (NT), brunpudrad nållav (NT), druvfingersvamp (NT), flattoppad klubbsvamp (NT), frygisk spindling (NT), gammelgransskål (NT), garnlav (NT), gransotdyna (NT), grantaggsvamp (NT), granticka (NT), gröntagging (NT), harticka (NT), järpe (NT, §4), Leptoporus mollis (NT), lunglav (NT), orange taggsvamp (NT), spillkråka (NT, §4), stjärntagging (NT), svart taggsvamp (NT), svartvit taggsvamp (NT), tallriska (NT), tallticka (NT), talltita (NT, §4), ullticka (NT), vaxspindling (NT), vitgrynig nållav (NT), vitskaftad svartspik (NT), äggvaxskivling (NT), filttagging (DD), bårdlav (S), dropptaggsvamp (S), grönpyrola (S), gullgröppa (S), källpraktmossa (S), luddlav (S), plattlummer (S, §9), rödgul trumpetsvamp (S), rökmusseron (S), skinnlav (S), spindelblomster (S, §8), strimspindling (S), tallfingersvamp (S), tibast (S), tjockfotad fingersvamp (S), vedticka (S), ögonpyrola (S), tjäder (§4), vanlig padda (§6), fläcknycklar (§8) och revlummer (§9). Av dessa är 37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5447-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7328799, E 828308 i SWEREF 99 TM.</w:t>
      </w:r>
    </w:p>
    <w:p>
      <w:pPr>
        <w:pStyle w:val="Heading1"/>
      </w:pPr>
      <w:r>
        <w:t>Fridlysta arter</w:t>
      </w:r>
    </w:p>
    <w:p>
      <w:r>
        <w:t>Följande fridlysta arter har sina livsmiljöer och växtplatser i den avverkningsanmälda skogen: knärot (VU, §8), norna (VU, §7), järpe (NT, §4), spillkråka (NT, §4), talltita (NT, §4), plattlummer (S, §9), spindelblomster (S, §8), tjäder (§4),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299 fyndplatser för knärot registrerade på Artportalen. Figur 2 visar gränserna för buffertzoner på 50 m, som behöver lämnas kring fyndplatserna för att knärotslokalerna inte ska försvinna vid en avverkning. Av det avverkningsanmälda området överlappar 30.82 ha med buffertzonerna och får av detta skäl inte avverkas.</w:t>
      </w:r>
    </w:p>
    <w:p>
      <w:pPr>
        <w:pStyle w:val="Caption"/>
      </w:pPr>
      <w:r>
        <w:drawing>
          <wp:inline xmlns:a="http://schemas.openxmlformats.org/drawingml/2006/main" xmlns:pic="http://schemas.openxmlformats.org/drawingml/2006/picture">
            <wp:extent cx="5486400" cy="8874162"/>
            <wp:docPr id="2" name="Picture 2"/>
            <wp:cNvGraphicFramePr>
              <a:graphicFrameLocks noChangeAspect="1"/>
            </wp:cNvGraphicFramePr>
            <a:graphic>
              <a:graphicData uri="http://schemas.openxmlformats.org/drawingml/2006/picture">
                <pic:pic>
                  <pic:nvPicPr>
                    <pic:cNvPr id="0" name="A 15447-2024 karta knärot.png"/>
                    <pic:cNvPicPr/>
                  </pic:nvPicPr>
                  <pic:blipFill>
                    <a:blip r:embed="rId17"/>
                    <a:stretch>
                      <a:fillRect/>
                    </a:stretch>
                  </pic:blipFill>
                  <pic:spPr>
                    <a:xfrm>
                      <a:off x="0" y="0"/>
                      <a:ext cx="5486400" cy="88741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7328799, E 828308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58 naturvårdsarter varav 37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