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17125-2024 i Luleå kommun</w:t>
      </w:r>
    </w:p>
    <w:p>
      <w:r>
        <w:t>Denna tillsynsbegäran behandlar höga naturvärden i avverkningsanmälan A 17125-2024 i Luleå kommun som inkom 2024-04-30 och omfattar 2,0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17125-2024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7287184, E 826183 i SWEREF 99 TM.</w:t>
      </w:r>
    </w:p>
    <w:p>
      <w:r>
        <w:t>Inom 9 meter från avverkningsanmälan finns fynd av 3 naturvårdsarter, varav 3 är rödlistade: skrovlig taggsvamp (VU), dynlaxskivling (NT) och slätsporig kanelspindling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Slätsporig kanelspindling (DD)</w:t>
      </w:r>
      <w:r>
        <w:t xml:space="preserve"> bildar mykorrhiza med tall i äldre, gles sandtallskog. Ett av fynden är från en gammal sandtäkt. Arten är enbart känd från ett fåtal lokaler i landet, i Småland, Västmanland och Norrbotten. Sannolikt förbisedd och med stort mörkertal. Faktaunderlaget bedöms vara otillräckligt för att avgöra vilken av de olika rödlistningskategorierna som är mest trolig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