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39629-2026 i Luleå kommun</w:t>
      </w:r>
    </w:p>
    <w:p>
      <w:r>
        <w:t>Denna tillsynsbegäran behandlar höga naturvärden i avverkningsanmälan A 39629-2026 i Luleå kommun som inkom 2026-09-24 och omfattar 7,0 ha.</w:t>
      </w:r>
    </w:p>
    <w:p>
      <w:pPr>
        <w:pStyle w:val="Caption"/>
      </w:pPr>
      <w:r>
        <w:drawing>
          <wp:inline xmlns:a="http://schemas.openxmlformats.org/drawingml/2006/main" xmlns:pic="http://schemas.openxmlformats.org/drawingml/2006/picture">
            <wp:extent cx="5486400" cy="4345757"/>
            <wp:docPr id="1" name="Picture 1"/>
            <wp:cNvGraphicFramePr>
              <a:graphicFrameLocks noChangeAspect="1"/>
            </wp:cNvGraphicFramePr>
            <a:graphic>
              <a:graphicData uri="http://schemas.openxmlformats.org/drawingml/2006/picture">
                <pic:pic>
                  <pic:nvPicPr>
                    <pic:cNvPr id="0" name="A 39629-2026 karta.png"/>
                    <pic:cNvPicPr/>
                  </pic:nvPicPr>
                  <pic:blipFill>
                    <a:blip r:embed="rId16"/>
                    <a:stretch>
                      <a:fillRect/>
                    </a:stretch>
                  </pic:blipFill>
                  <pic:spPr>
                    <a:xfrm>
                      <a:off x="0" y="0"/>
                      <a:ext cx="5486400" cy="434575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7293181, E 798991 i SWEREF 99 TM.</w:t>
      </w:r>
    </w:p>
    <w:p>
      <w:r>
        <w:t>I och inom 4 meter från avverkningsanmälan finns fynd av 20 naturvårdsarter, varav 13 är rödlistade, 3 är fridlysta, 17 är typiska (T) och 5 är signalarter (S): garnlav (VU, T), knärot (VU, T, §8), smalfotad taggsvamp (VU), brunpudrad nållav (NT, T), dropptaggsvamp (NT, T), gammelgransskål (NT, T), kortskaftad ärgspik (NT), lunglav (NT, T), ullticka (NT, T), vedskivlav (NT, T), vedtrappmossa (NT, T), violettgrå tagellav (NT, T), vitgrynig nållav (NT), bollvitmossa (S, T), grönpyrola (S, T), skinnlav (S, T), stuplav (S, T), vedticka (S, T), gråspett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3.12 ha med buffertzonerna och får av detta skäl inte avverkas.</w:t>
      </w:r>
    </w:p>
    <w:p>
      <w:pPr>
        <w:pStyle w:val="Caption"/>
      </w:pPr>
      <w:r>
        <w:drawing>
          <wp:inline xmlns:a="http://schemas.openxmlformats.org/drawingml/2006/main" xmlns:pic="http://schemas.openxmlformats.org/drawingml/2006/picture">
            <wp:extent cx="5486400" cy="3972455"/>
            <wp:docPr id="2" name="Picture 2"/>
            <wp:cNvGraphicFramePr>
              <a:graphicFrameLocks noChangeAspect="1"/>
            </wp:cNvGraphicFramePr>
            <a:graphic>
              <a:graphicData uri="http://schemas.openxmlformats.org/drawingml/2006/picture">
                <pic:pic>
                  <pic:nvPicPr>
                    <pic:cNvPr id="0" name="A 39629-2026 karta knärot.png"/>
                    <pic:cNvPicPr/>
                  </pic:nvPicPr>
                  <pic:blipFill>
                    <a:blip r:embed="rId17"/>
                    <a:stretch>
                      <a:fillRect/>
                    </a:stretch>
                  </pic:blipFill>
                  <pic:spPr>
                    <a:xfrm>
                      <a:off x="0" y="0"/>
                      <a:ext cx="5486400" cy="39724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7293181, E 798991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brunpudrad nållav (NT, T), dropptaggsvamp (NT, T), gammelgransskål (NT, T), lunglav (NT, T), ullticka (NT, T), vedskivlav (NT, T), vedtrappmossa (NT, T), violettgrå tagellav (NT, T), bollvitmossa (S, T), grönpyrola (S, T), skinnlav (S, T), stuplav (S, T), vedticka (S, T), gråspett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