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30615-2025 i Luleå kommun</w:t>
      </w:r>
    </w:p>
    <w:p>
      <w:r>
        <w:t>Detta dokument behandlar höga naturvärden i avverkningsanmälan A 30615-2025 i Luleå kommun. Denna avverkningsanmälan inkom 2025-06-23 00:00:00 och omfattar 31,6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grönpyrola (S), ögonpyrola (S) och nattviol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56818"/>
            <wp:docPr id="1" name="Picture 1"/>
            <wp:cNvGraphicFramePr>
              <a:graphicFrameLocks noChangeAspect="1"/>
            </wp:cNvGraphicFramePr>
            <a:graphic>
              <a:graphicData uri="http://schemas.openxmlformats.org/drawingml/2006/picture">
                <pic:pic>
                  <pic:nvPicPr>
                    <pic:cNvPr id="0" name="A 30615-2025 karta.png"/>
                    <pic:cNvPicPr/>
                  </pic:nvPicPr>
                  <pic:blipFill>
                    <a:blip r:embed="rId16"/>
                    <a:stretch>
                      <a:fillRect/>
                    </a:stretch>
                  </pic:blipFill>
                  <pic:spPr>
                    <a:xfrm>
                      <a:off x="0" y="0"/>
                      <a:ext cx="5486400" cy="405681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7338044, E 819271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r>
        <w:rPr>
          <w:b/>
        </w:rPr>
        <w:t xml:space="preserve">Ögonpyrola </w:t>
      </w:r>
      <w:r>
        <w:t>är normalt en bra signalart som visar på områden med höga naturvärden och stabila förhållanden, särskilt inom näringsfattiga trakter. Växten är mycket känslig för markskador och försvinner snabbt efter slutavverkning. Den hotas också av skogsgödsling och markavvattning (Nitare &amp; Skogsstyrelsen, 2019).</w:t>
      </w:r>
    </w:p>
    <w:p>
      <w:pPr>
        <w:pStyle w:val="Heading1"/>
      </w:pPr>
      <w:r>
        <w:t>Fridlysta arter</w:t>
      </w:r>
    </w:p>
    <w:p>
      <w:r>
        <w:t>Följande fridlysta arter har sina livsmiljöer och växtplatser i den avverkningsanmälda skogen: knärot (VU, §8) och nattviol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0.79 ha med buffertzonerna och får av detta skäl inte avverkas.</w:t>
      </w:r>
    </w:p>
    <w:p>
      <w:pPr>
        <w:pStyle w:val="Caption"/>
      </w:pPr>
      <w:r>
        <w:drawing>
          <wp:inline xmlns:a="http://schemas.openxmlformats.org/drawingml/2006/main" xmlns:pic="http://schemas.openxmlformats.org/drawingml/2006/picture">
            <wp:extent cx="5486400" cy="4717155"/>
            <wp:docPr id="2" name="Picture 2"/>
            <wp:cNvGraphicFramePr>
              <a:graphicFrameLocks noChangeAspect="1"/>
            </wp:cNvGraphicFramePr>
            <a:graphic>
              <a:graphicData uri="http://schemas.openxmlformats.org/drawingml/2006/picture">
                <pic:pic>
                  <pic:nvPicPr>
                    <pic:cNvPr id="0" name="A 30615-2025 karta knärot.png"/>
                    <pic:cNvPicPr/>
                  </pic:nvPicPr>
                  <pic:blipFill>
                    <a:blip r:embed="rId17"/>
                    <a:stretch>
                      <a:fillRect/>
                    </a:stretch>
                  </pic:blipFill>
                  <pic:spPr>
                    <a:xfrm>
                      <a:off x="0" y="0"/>
                      <a:ext cx="5486400" cy="4717155"/>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7338044, E 819271 i SWEREF 99 TM.</w:t>
      </w:r>
    </w:p>
    <w:p>
      <w:pPr>
        <w:pStyle w:val="Caption"/>
      </w:pP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