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23533-2024 i Luleå kommun</w:t>
      </w:r>
    </w:p>
    <w:p>
      <w:r>
        <w:t>Detta klagomål behandlar höga naturvärden i avverkningsanmälan A 23533-2024 i Luleå kommun som inkom 2024-06-10 och omfattar 13,2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23533-2024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7347866, E 834337 i SWEREF 99 TM.</w:t>
      </w:r>
    </w:p>
    <w:p>
      <w:r>
        <w:t>I och inom 21 meter från avverkningsanmälan finns fynd av 28 naturvårdsarter, varav 22 är rödlistade, 5 är fridlysta, 10 är typiska (T) och 3 är signalarter (S): skrovlig taggsvamp (VU), smalfotad taggsvamp (VU), tallgråticka (VU), torrmusseron (VU), blå taggsvamp (NT, T), blågrå svartspik (NT), dropptaggsvamp (NT, T), grantaggsvamp (NT), lavskrika (NT, T, §4), motaggsvamp (NT, T), orange taggsvamp (NT, T), Phellodon aquiloniniger (NT), skarp dropptaggsvamp (NT), sotvaxskivling (NT), svartvit taggsvamp (NT), tallriska (NT), talltagel (NT, T), talltaggsvamp (NT), vaddporing (NT), vaxspindling (NT), vedflamlav (NT), vedskivlav (NT, T), plattlummer (S, T, §9), vedticka (S, T), zontaggsvamp (S),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