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60585-2024 i Luleå kommun</w:t>
      </w:r>
    </w:p>
    <w:p>
      <w:r>
        <w:t>Detta dokument behandlar höga naturvärden i avverkningsanmälan A 60585-2024 i Luleå kommun som inkom 2024-12-18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474169" cy="5688000"/>
            <wp:docPr id="1" name="Picture 1"/>
            <wp:cNvGraphicFramePr>
              <a:graphicFrameLocks noChangeAspect="1"/>
            </wp:cNvGraphicFramePr>
            <a:graphic>
              <a:graphicData uri="http://schemas.openxmlformats.org/drawingml/2006/picture">
                <pic:pic>
                  <pic:nvPicPr>
                    <pic:cNvPr id="0" name="A 60585-2024 karta.png"/>
                    <pic:cNvPicPr/>
                  </pic:nvPicPr>
                  <pic:blipFill>
                    <a:blip r:embed="rId16"/>
                    <a:stretch>
                      <a:fillRect/>
                    </a:stretch>
                  </pic:blipFill>
                  <pic:spPr>
                    <a:xfrm>
                      <a:off x="0" y="0"/>
                      <a:ext cx="4474169"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7298536, E 811086 i SWEREF 99 TM.</w:t>
      </w:r>
    </w:p>
    <w:p>
      <w:pPr>
        <w:pStyle w:val="Heading2"/>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