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45121-2023 i Piteå kommun</w:t>
      </w:r>
    </w:p>
    <w:p>
      <w:r>
        <w:t>Detta dokument behandlar höga naturvärden i avverkningsanmälan A 45121-2023 i Piteå kommun. Denna avverkningsanmälan inkom 2023-09-22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björktrast (NT, §4), blå taggsvamp (NT), orange taggsvamp (NT), skrovlig taggsvamp (NT), stenfalk (NT, §4), talltaggsvamp (NT), dropptaggsvamp (S), grönsiska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björktrast (NT, §4), stenfalk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Stenfalk (NT, §4)</w:t>
      </w:r>
      <w:r>
        <w:t xml:space="preserve"> är fridlyst enligt 4§ artskyddsförordningen, typisk art för </w:t>
      </w:r>
      <w:r>
        <w:rPr>
          <w:i/>
        </w:rPr>
        <w:t>9040 Fjällbjörkskog</w:t>
      </w:r>
      <w:r>
        <w:t xml:space="preserve"> och omfattas av bilaga 1 EU:s fågeldirektiv. Minskningstakten har uppgått till 25 (10–40) % under de senaste 15 åren och bedöms vara nära gränsvärdet för Sårbar (VU).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