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4470-2026 i Piteå kommun</w:t>
      </w:r>
    </w:p>
    <w:p>
      <w:r>
        <w:t>Detta dokument behandlar höga naturvärden i avverkningsanmälan A 4470-2026 i Piteå kommun. Denna avverkningsanmälan inkom 2026-01-23 15:45:42 och omfattar 2,5 ha.</w:t>
      </w:r>
    </w:p>
    <w:p>
      <w:r>
        <w:t>Nedan presenteras fynd av naturvårdsarter som gjorts i det avverkningsanmälda området, samt relevanta utdrag ur standarderna för FSC, Chain of Custody, Controlled Wood och PEFC. I BILAGA 1 finns artfakta om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lunglav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754248"/>
            <wp:docPr id="1" name="Picture 1"/>
            <wp:cNvGraphicFramePr>
              <a:graphicFrameLocks noChangeAspect="1"/>
            </wp:cNvGraphicFramePr>
            <a:graphic>
              <a:graphicData uri="http://schemas.openxmlformats.org/drawingml/2006/picture">
                <pic:pic>
                  <pic:nvPicPr>
                    <pic:cNvPr id="0" name="A 4470-2026 karta.png"/>
                    <pic:cNvPicPr/>
                  </pic:nvPicPr>
                  <pic:blipFill>
                    <a:blip r:embed="rId16"/>
                    <a:stretch>
                      <a:fillRect/>
                    </a:stretch>
                  </pic:blipFill>
                  <pic:spPr>
                    <a:xfrm>
                      <a:off x="0" y="0"/>
                      <a:ext cx="5486400" cy="575424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7254910, E 761453 i SWEREF 99 TM.</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På lunglav kan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påträffas.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Rödlistade arter</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däribland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som växer på lunglav. Rikliga förekomster med lunglav bör skyddas med biotopskydd, frivilliga avsättningar eller reservat (SLU Artdatabanken, 2026; Nitare &amp; Skogsstyrelsen, 2019).</w:t>
      </w:r>
    </w:p>
    <w:p>
      <w:r>
        <w:t xml:space="preserve">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2026-04-16</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