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14504-2020 i Piteå kommun</w:t>
      </w:r>
    </w:p>
    <w:p>
      <w:r>
        <w:t>Detta dokument behandlar höga naturvärden i avverkningsanmälan A 14504-2020 i Piteå kommun. Denna avverkningsanmälan inkom 2020-03-12 och omfattar 11,9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18 naturvårdsarter hittats: knärot (VU, §8), läderdoftande fingersvamp (VU), siljansspindling (VU), tvillingspindling (VU), motaggsvamp (NT), orange taggsvamp (NT), persiljespindling (NT), stjärntagging (NT), tallriska (NT), tretåig hackspett (NT, §4), äggvaxskivling (NT), bollvitmossa (S), dropptaggsvamp (S), fjällig taggsvamp s.str. (S), mörk husmossa (S), plattlummer (S, §9), rödgul trumpetsvamp (S) och tallfingersvamp (S). Av dessa är 11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900059"/>
            <wp:docPr id="1" name="Picture 1"/>
            <wp:cNvGraphicFramePr>
              <a:graphicFrameLocks noChangeAspect="1"/>
            </wp:cNvGraphicFramePr>
            <a:graphic>
              <a:graphicData uri="http://schemas.openxmlformats.org/drawingml/2006/picture">
                <pic:pic>
                  <pic:nvPicPr>
                    <pic:cNvPr id="0" name="A 14504-2020 karta.png"/>
                    <pic:cNvPicPr/>
                  </pic:nvPicPr>
                  <pic:blipFill>
                    <a:blip r:embed="rId16"/>
                    <a:stretch>
                      <a:fillRect/>
                    </a:stretch>
                  </pic:blipFill>
                  <pic:spPr>
                    <a:xfrm>
                      <a:off x="0" y="0"/>
                      <a:ext cx="5486400" cy="390005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7257143, E 808712 i SWEREF 99 TM.</w:t>
      </w:r>
    </w:p>
    <w:p>
      <w:pPr>
        <w:pStyle w:val="Heading1"/>
      </w:pPr>
      <w:r>
        <w:t>Fridlysta arter</w:t>
      </w:r>
    </w:p>
    <w:p>
      <w:r>
        <w:t>Följande fridlysta arter har sina livsmiljöer och växtplatser i den avverkningsanmälda skogen: knärot (VU, §8), tretåig hackspett (NT, §4) och plattlummer (S, §9).</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6 fyndplatser för knärot registrerade på Artportalen. Figur 2 visar gränserna för buffertzoner på 50 m, som behöver lämnas kring fyndplatserna för att knärotslokalerna inte ska försvinna vid en avverkning. Av det avverkningsanmälda området överlappar 3.19 ha med buffertzonerna och får av detta skäl inte avverkas.</w:t>
      </w:r>
    </w:p>
    <w:p>
      <w:pPr>
        <w:pStyle w:val="Caption"/>
      </w:pPr>
      <w:r>
        <w:drawing>
          <wp:inline xmlns:a="http://schemas.openxmlformats.org/drawingml/2006/main" xmlns:pic="http://schemas.openxmlformats.org/drawingml/2006/picture">
            <wp:extent cx="5486400" cy="4810180"/>
            <wp:docPr id="2" name="Picture 2"/>
            <wp:cNvGraphicFramePr>
              <a:graphicFrameLocks noChangeAspect="1"/>
            </wp:cNvGraphicFramePr>
            <a:graphic>
              <a:graphicData uri="http://schemas.openxmlformats.org/drawingml/2006/picture">
                <pic:pic>
                  <pic:nvPicPr>
                    <pic:cNvPr id="0" name="A 14504-2020 karta knärot.png"/>
                    <pic:cNvPicPr/>
                  </pic:nvPicPr>
                  <pic:blipFill>
                    <a:blip r:embed="rId17"/>
                    <a:stretch>
                      <a:fillRect/>
                    </a:stretch>
                  </pic:blipFill>
                  <pic:spPr>
                    <a:xfrm>
                      <a:off x="0" y="0"/>
                      <a:ext cx="5486400" cy="4810180"/>
                    </a:xfrm>
                    <a:prstGeom prst="rect"/>
                  </pic:spPr>
                </pic:pic>
              </a:graphicData>
            </a:graphic>
          </wp:inline>
        </w:drawing>
      </w:r>
    </w:p>
    <w:p>
      <w:pPr>
        <w:pStyle w:val="Caption"/>
      </w:pPr>
      <w:r>
        <w:t>Figur 2. Fyndplatser och buffertzoner för knärot i det avverkningsanmälda området. Endast fyndplaster vars buffertzoner överlappar med det avverkningsanmälda området har tagits med i visualiseringen. Kartans mittpunktskoordinat är N 7257143, E 808712 i SWEREF 99 TM.</w:t>
      </w:r>
    </w:p>
    <w:p>
      <w:pPr>
        <w:pStyle w:val="Caption"/>
      </w:pP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(Skogsstyrelsen, 2016).</w:t>
      </w: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iförhållande till sin generationstid än vad som tidigare varit känt (data från Riksskogstaxeringen) höjdes den till hotkategori sårbar (VU) i rödlistan 2020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 – 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 xml:space="preserve">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2024-10-05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