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 och inom 1 meter från avverkningsanmälan finns fynd av 3 naturvårdsarter, varav 3 är rödlistade och 3 är typiska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