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44447-2025 i Piteå kommun</w:t>
      </w:r>
    </w:p>
    <w:p>
      <w:r>
        <w:t>Detta klagomål behandlar höga naturvärden i avverkningsanmälan A 44447-2025 i Piteå kommun som inkom 2025-09-16 och omfattar 35,9 ha.</w:t>
      </w:r>
    </w:p>
    <w:p>
      <w:pPr>
        <w:pStyle w:val="Caption"/>
      </w:pPr>
      <w:r>
        <w:drawing>
          <wp:inline xmlns:a="http://schemas.openxmlformats.org/drawingml/2006/main" xmlns:pic="http://schemas.openxmlformats.org/drawingml/2006/picture">
            <wp:extent cx="5486400" cy="3642517"/>
            <wp:docPr id="1" name="Picture 1"/>
            <wp:cNvGraphicFramePr>
              <a:graphicFrameLocks noChangeAspect="1"/>
            </wp:cNvGraphicFramePr>
            <a:graphic>
              <a:graphicData uri="http://schemas.openxmlformats.org/drawingml/2006/picture">
                <pic:pic>
                  <pic:nvPicPr>
                    <pic:cNvPr id="0" name="A 44447-2025 karta.png"/>
                    <pic:cNvPicPr/>
                  </pic:nvPicPr>
                  <pic:blipFill>
                    <a:blip r:embed="rId16"/>
                    <a:stretch>
                      <a:fillRect/>
                    </a:stretch>
                  </pic:blipFill>
                  <pic:spPr>
                    <a:xfrm>
                      <a:off x="0" y="0"/>
                      <a:ext cx="5486400" cy="3642517"/>
                    </a:xfrm>
                    <a:prstGeom prst="rect"/>
                  </pic:spPr>
                </pic:pic>
              </a:graphicData>
            </a:graphic>
          </wp:inline>
        </w:drawing>
      </w:r>
    </w:p>
    <w:p>
      <w:pPr>
        <w:pStyle w:val="Caption"/>
        <w:spacing w:after="240"/>
      </w:pPr>
      <w:r>
        <w:t>Figur 1. Fyndplatser för naturvårdsarter inom 25 meter från avverkningsanmälan. Markörer utan svart kant är placerade på fyndplatsen. Markörer med svart kant är placerade vid sidan av fyndplatsen har ett svart streck som visar fyndplatsens exakta position. Kartans mittpunktskoordinat är N 7264174, E 735065 i SWEREF 99 TM.</w:t>
      </w:r>
    </w:p>
    <w:p>
      <w:r>
        <w:t>Inom 25 meter från avverkningsanmälan finns fynd av 1 naturvårdsarter, varav 1 är rödlistad och 1 är typisk (T): gammelgransskål (NT, T).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Gammelgransskål (NT)</w:t>
      </w:r>
      <w:r>
        <w:t xml:space="preserve"> är en liten skålsvamp som växer på gamla granar med skrovlig bark. Typiska växtplatser är gransumpskog i myrkanter, bäckdråg, bäckraviner och skuggiga bergssluttningar, men också skog på torrare mark kan hysa arten om beståndet har stark naturskogskaraktär. Bestånd med arten bör behandlas som nyckelbiotoper och sparas vid en slutavverkning. Även gallring bör undvikas. Gammelgransskål är typisk art för </w:t>
      </w:r>
      <w:r>
        <w:rPr>
          <w:i/>
        </w:rPr>
        <w:t>9010 Taiga</w:t>
      </w:r>
      <w:r>
        <w:t xml:space="preserve"> (SLU Artdatabanken, 2024; Nitare &amp; Skogsstyrelsen, 2019).</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2026-07-25</w:t>
      <w:br/>
      <w:br/>
    </w:r>
    <w:r>
      <w:t>Till: Sveaskog</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