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23700-2026 i Piteå kommun</w:t>
      </w:r>
    </w:p>
    <w:p>
      <w:r>
        <w:t>Detta klagomål behandlar höga naturvärden i avverkningsanmälan A 23700-2026 i Piteå kommun som inkom 2026-05-22 och omfattar 16,4 ha.</w:t>
      </w:r>
    </w:p>
    <w:p>
      <w:pPr>
        <w:pStyle w:val="Caption"/>
      </w:pPr>
      <w:r>
        <w:drawing>
          <wp:inline xmlns:a="http://schemas.openxmlformats.org/drawingml/2006/main" xmlns:pic="http://schemas.openxmlformats.org/drawingml/2006/picture">
            <wp:extent cx="5416859" cy="5724000"/>
            <wp:docPr id="1" name="Picture 1"/>
            <wp:cNvGraphicFramePr>
              <a:graphicFrameLocks noChangeAspect="1"/>
            </wp:cNvGraphicFramePr>
            <a:graphic>
              <a:graphicData uri="http://schemas.openxmlformats.org/drawingml/2006/picture">
                <pic:pic>
                  <pic:nvPicPr>
                    <pic:cNvPr id="0" name="A 23700-2026 karta.png"/>
                    <pic:cNvPicPr/>
                  </pic:nvPicPr>
                  <pic:blipFill>
                    <a:blip r:embed="rId16"/>
                    <a:stretch>
                      <a:fillRect/>
                    </a:stretch>
                  </pic:blipFill>
                  <pic:spPr>
                    <a:xfrm>
                      <a:off x="0" y="0"/>
                      <a:ext cx="5416859"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7278403, E 756593 i SWEREF 99 TM.</w:t>
      </w:r>
    </w:p>
    <w:p>
      <w:r>
        <w:t>I och inom 21 meter från avverkningsanmälan finns fynd av 7 naturvårdsarter, varav 7 är rödlistade och 3 är typiska (T): skrovlig taggsvamp (VU), smalfotad taggsvamp (VU), dropptaggsvamp (NT, T), knottrig blåslav (NT, T), mörk kolflarnlav (NT), vaddporing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