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32959-2026 i Piteå kommun</w:t>
      </w:r>
    </w:p>
    <w:p>
      <w:r>
        <w:t>Denna tillsynsbegäran behandlar höga naturvärden i avverkningsanmälan A 32959-2026 i Piteå kommun som inkom 2026-08-10 och omfattar 9,2 ha.</w:t>
      </w:r>
    </w:p>
    <w:p>
      <w:pPr>
        <w:pStyle w:val="Caption"/>
      </w:pPr>
      <w:r>
        <w:drawing>
          <wp:inline xmlns:a="http://schemas.openxmlformats.org/drawingml/2006/main" xmlns:pic="http://schemas.openxmlformats.org/drawingml/2006/picture">
            <wp:extent cx="5486400" cy="3929092"/>
            <wp:docPr id="1" name="Picture 1"/>
            <wp:cNvGraphicFramePr>
              <a:graphicFrameLocks noChangeAspect="1"/>
            </wp:cNvGraphicFramePr>
            <a:graphic>
              <a:graphicData uri="http://schemas.openxmlformats.org/drawingml/2006/picture">
                <pic:pic>
                  <pic:nvPicPr>
                    <pic:cNvPr id="0" name="A 32959-2026 karta.png"/>
                    <pic:cNvPicPr/>
                  </pic:nvPicPr>
                  <pic:blipFill>
                    <a:blip r:embed="rId16"/>
                    <a:stretch>
                      <a:fillRect/>
                    </a:stretch>
                  </pic:blipFill>
                  <pic:spPr>
                    <a:xfrm>
                      <a:off x="0" y="0"/>
                      <a:ext cx="5486400" cy="39290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7288275, E 784050 i SWEREF 99 TM.</w:t>
      </w:r>
    </w:p>
    <w:p>
      <w:r>
        <w:t>I avverkningsanmälan finns fynd av 15 naturvårdsarter, varav 10 är rödlistade, 5 är fridlysta, 9 är typiska (T) och 2 är signalarter (S): koboltspindling (EN), garnlav (VU, T), knärot (VU, T, §8), fjällig taggsvamp s.str. (NT), flattoppad klubbsvamp (NT), harticka (NT, T), kötticka (NT), lunglav (NT, T), talltita (NT, §4), ullticka (NT, T), spindelblomster (S, T, §8), stuplav (S, T), kransmossa (T), spillkråka (T, §4)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Koboltspindling (EN)</w:t>
      </w:r>
      <w:r>
        <w:t xml:space="preserve"> är en starkt hotad art som bildar mykorrhiza med gran i kalkbarrskog. Huvudsakligen knuten till äldre skog på frisk till fuktig mark. Få bekräftade fynd i landet, från Dalarna och Uppland. Den totala populationen i landet bedöms vara liten, ha minskat och förväntas fortsätta minska på grund av slutavverkning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3.40 ha med buffertzonerna och får av detta skäl inte avverkas.</w:t>
      </w:r>
    </w:p>
    <w:p>
      <w:pPr>
        <w:pStyle w:val="Caption"/>
      </w:pPr>
      <w:r>
        <w:drawing>
          <wp:inline xmlns:a="http://schemas.openxmlformats.org/drawingml/2006/main" xmlns:pic="http://schemas.openxmlformats.org/drawingml/2006/picture">
            <wp:extent cx="5486400" cy="3800887"/>
            <wp:docPr id="2" name="Picture 2"/>
            <wp:cNvGraphicFramePr>
              <a:graphicFrameLocks noChangeAspect="1"/>
            </wp:cNvGraphicFramePr>
            <a:graphic>
              <a:graphicData uri="http://schemas.openxmlformats.org/drawingml/2006/picture">
                <pic:pic>
                  <pic:nvPicPr>
                    <pic:cNvPr id="0" name="A 32959-2026 karta knärot.png"/>
                    <pic:cNvPicPr/>
                  </pic:nvPicPr>
                  <pic:blipFill>
                    <a:blip r:embed="rId17"/>
                    <a:stretch>
                      <a:fillRect/>
                    </a:stretch>
                  </pic:blipFill>
                  <pic:spPr>
                    <a:xfrm>
                      <a:off x="0" y="0"/>
                      <a:ext cx="5486400" cy="380088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7288275, E 784050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harticka (NT, T), lunglav (NT, T), ullticka (NT, T), spindelblomster (S, T, §8), stuplav (S, T), kransmossa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