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24000-2026 i Piteå kommun</w:t>
      </w:r>
    </w:p>
    <w:p>
      <w:r>
        <w:t>Detta dokument behandlar höga naturvärden i avverkningsanmälan A 24000-2026 i Piteå kommun. Denna avverkningsanmälan inkom 2026-05-25 15:15:49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kricka (VU, §4), björktrast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7272419, E 754475 i SWEREF 99 TM.</w:t>
      </w:r>
    </w:p>
    <w:p>
      <w:pPr>
        <w:pStyle w:val="Heading1"/>
      </w:pPr>
      <w:r>
        <w:t>Fridlysta arter</w:t>
      </w:r>
    </w:p>
    <w:p>
      <w:r>
        <w:t>Följande fridlysta arter har sina livsmiljöer och växtplatser i den avverkningsanmälda skogen: bläsand (VU, §4), kricka (VU, §4), björktrast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