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38526-2026 i Piteå kommun</w:t>
      </w:r>
    </w:p>
    <w:p>
      <w:r>
        <w:t>Detta klagomål behandlar höga naturvärden i avverkningsanmälan A 38526-2026 i Piteå kommun som inkom 2026-09-18 och omfattar 6,7 ha.</w:t>
      </w:r>
    </w:p>
    <w:p>
      <w:pPr>
        <w:pStyle w:val="Caption"/>
      </w:pPr>
      <w:r>
        <w:drawing>
          <wp:inline xmlns:a="http://schemas.openxmlformats.org/drawingml/2006/main" xmlns:pic="http://schemas.openxmlformats.org/drawingml/2006/picture">
            <wp:extent cx="5122095" cy="5724000"/>
            <wp:docPr id="1" name="Picture 1"/>
            <wp:cNvGraphicFramePr>
              <a:graphicFrameLocks noChangeAspect="1"/>
            </wp:cNvGraphicFramePr>
            <a:graphic>
              <a:graphicData uri="http://schemas.openxmlformats.org/drawingml/2006/picture">
                <pic:pic>
                  <pic:nvPicPr>
                    <pic:cNvPr id="0" name="A 38526-2026 karta.png"/>
                    <pic:cNvPicPr/>
                  </pic:nvPicPr>
                  <pic:blipFill>
                    <a:blip r:embed="rId16"/>
                    <a:stretch>
                      <a:fillRect/>
                    </a:stretch>
                  </pic:blipFill>
                  <pic:spPr>
                    <a:xfrm>
                      <a:off x="0" y="0"/>
                      <a:ext cx="5122095" cy="5724000"/>
                    </a:xfrm>
                    <a:prstGeom prst="rect"/>
                  </pic:spPr>
                </pic:pic>
              </a:graphicData>
            </a:graphic>
          </wp:inline>
        </w:drawing>
      </w:r>
    </w:p>
    <w:p>
      <w:pPr>
        <w:pStyle w:val="Caption"/>
        <w:spacing w:after="240"/>
      </w:pPr>
      <w:r>
        <w:t>Figur 1. Fyndplatser för naturvårdsarter inom 1 meter från avverkningsanmälan. Markörer utan svart kant är placerade på fyndplatsen. Markörer med svart kant är placerade vid sidan av fyndplatsen och har ett svart streck som visar fyndplatsens exakta position. Kartans mittpunktskoordinat är N 7271469, E 812782 i SWEREF 99 TM.</w:t>
      </w:r>
    </w:p>
    <w:p>
      <w:r>
        <w:t>Inom 1 meter från avverkningsanmälan finns fynd av 1 naturvårdsarter, varav 1 är rödlistad och 1 är fridlyst: lappuggla (VU,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Lappuggla (VU, §4)</w:t>
      </w:r>
      <w:r>
        <w:t xml:space="preserve"> är rödlistad som sårbar och upptagen i bilaga 1 EU:s fågeldirektiv. Den hotas av brist på lämpliga risbon till följd av avverkning av äldre skog samt fragmentering av större skogsbestånd och det allvarligaste hotet mot arten utgörs av minskad tillgång på lämplig häckningsmiljö och särskilt på boplatser på grund av skogsbruk. Skyddszoner behöver lämnas kring boplatser vid avverkning eller andra skogliga åtgärder. Som tumregel kan man säga att skyddszonen ska vara så bred (&gt;100 m) att boet inte syns från kanten av beståndet (SLU Artdatabanken, 2024;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Lappuggla – ekologi samt krav på livsmiljön</w:t>
      </w:r>
    </w:p>
    <w:p>
      <w:r>
        <w:t>Lappuggla är rödlistad som sårbar (VU), fridlyst enligt 4§ Artskyddsförordningen och upptagen i bilaga 1 EU:s fågeldirektiv. Den häckar i skogsmark där den i första hand utnyttjar risbon efter ormvråk, bivråk och duvhök. Inom häckningsområdena bör särskild hänsyn tas till de arter som förser lappugglan med bon och biotopskyddsåtgärderna måste därför inriktas på att bibehålla möjligheten för ursprungsarterna (duvhök, ormvråk och bivråk) att upprätthålla sina häckningsplatser med bibehållen bomiljö (SLU Artdatabanken, 2024).</w:t>
      </w:r>
    </w:p>
    <w:p>
      <w:r>
        <w:t>Lappugglan hotas av brist på lämpliga risbon till följd av avverkning av äldre skog samt fragmentering av större skogsbestånd och det allvarligaste hotet mot arten utgörs av minskad tillgång på lämplig häckningsmiljö och särskilt på boplatser på grund av skogsbruk. Skogsområden som under många år utgjort häckningslokaler för lappuggla har utan hänsyn avverkats, i flera fall t.o.m. under häckningsperioden för lappugglan eller dess värdarter. Flera kända häckningslokaler är akut hotade av förestående avverkningar. Antalet individer bedöms vara lägre än gränsvärdet för Sårbar (VU) enligt D-kriteriet. (D1) (SLU Artdatabanken, 2024; Skogsstyrelsen, 2016).</w:t>
      </w:r>
    </w:p>
    <w:p>
      <w:r>
        <w:t>Skyddszoner behöver lämnas kring boplatser vid avverkning eller andra skogliga åtgärder. Som tumregel kan man säga att skyddszonen ska vara så bred (&gt;100 m) att boet inte syns från kanten av beståndet (Skogsstyrelsen, 2016).</w:t>
      </w:r>
    </w:p>
    <w:p>
      <w:pPr>
        <w:pStyle w:val="Heading2"/>
      </w:pPr>
      <w:r>
        <w:t>Referenser – lappuggla</w:t>
      </w:r>
    </w:p>
    <w:p>
      <w:r>
        <w:t xml:space="preserve">Skogsstyrelsen, 2016. </w:t>
      </w:r>
      <w:r>
        <w:rPr>
          <w:i/>
        </w:rPr>
        <w:t xml:space="preserve">Vägledning för hänsyn till lappuggla. </w:t>
      </w:r>
      <w:r>
        <w:t>Vägledningar och kunskapsstöd artskydd – 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