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176-2021 i Piteå kommun</w:t>
      </w:r>
    </w:p>
    <w:p>
      <w:r>
        <w:t>Detta klagomål behandlar höga naturvärden i samrådsanmälan S 176-2021 i Piteå kommun som inkom 2021-02-03 och omfattar 339,8 ha.</w:t>
      </w:r>
    </w:p>
    <w:p>
      <w:pPr>
        <w:pStyle w:val="Caption"/>
      </w:pPr>
      <w:r>
        <w:drawing>
          <wp:inline xmlns:a="http://schemas.openxmlformats.org/drawingml/2006/main" xmlns:pic="http://schemas.openxmlformats.org/drawingml/2006/picture">
            <wp:extent cx="5486400" cy="3046743"/>
            <wp:docPr id="1" name="Picture 1"/>
            <wp:cNvGraphicFramePr>
              <a:graphicFrameLocks noChangeAspect="1"/>
            </wp:cNvGraphicFramePr>
            <a:graphic>
              <a:graphicData uri="http://schemas.openxmlformats.org/drawingml/2006/picture">
                <pic:pic>
                  <pic:nvPicPr>
                    <pic:cNvPr id="0" name="S 176-2021 karta.png"/>
                    <pic:cNvPicPr/>
                  </pic:nvPicPr>
                  <pic:blipFill>
                    <a:blip r:embed="rId16"/>
                    <a:stretch>
                      <a:fillRect/>
                    </a:stretch>
                  </pic:blipFill>
                  <pic:spPr>
                    <a:xfrm>
                      <a:off x="0" y="0"/>
                      <a:ext cx="5486400" cy="304674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7278059, E 742967 i SWEREF 99 TM.</w:t>
      </w:r>
    </w:p>
    <w:p>
      <w:r>
        <w:t>I och inom 25 meter från samrådsanmälan finns fynd av 10 naturvårdsarter, varav 6 är rödlistade, 1 är fridlyst, 8 är typiska (T) och 3 är signalarter (S): gammelgransskål (NT, T), knottrig blåslav (NT, T), luddfingersvamp (NT), lunglav (NT, T), vaddporing (NT), violettgrå tagellav (NT, T), bårdlav (S, T), luddlav (S, T), stuplav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