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14504-2020 i Piteå kommun</w:t>
      </w:r>
    </w:p>
    <w:p>
      <w:r>
        <w:t>Detta dokument behandlar höga naturvärden i avverkningsanmälan A 14504-2020 i Piteå kommun. Denna avverkningsanmälan inkom 2020-03-12 och omfattar 11,9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knärot (VU, §8), läderdoftande fingersvamp (VU), siljansspindling (VU), tvillingspindling (VU), motaggsvamp (NT), orange taggsvamp (NT), persiljespindling (NT), stjärntagging (NT), tallriska (NT), tretåig hackspett (NT, §4), äggvaxskivling (NT), bollvitmossa (S), dropptaggsvamp (S), fjällig taggsvamp s.str. (S), mörk husmossa (S), plattlummer (S, §9), rödgul trumpetsvamp (S) och tallfingersvamp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0059"/>
            <wp:docPr id="1" name="Picture 1"/>
            <wp:cNvGraphicFramePr>
              <a:graphicFrameLocks noChangeAspect="1"/>
            </wp:cNvGraphicFramePr>
            <a:graphic>
              <a:graphicData uri="http://schemas.openxmlformats.org/drawingml/2006/picture">
                <pic:pic>
                  <pic:nvPicPr>
                    <pic:cNvPr id="0" name="A 14504-2020 karta.png"/>
                    <pic:cNvPicPr/>
                  </pic:nvPicPr>
                  <pic:blipFill>
                    <a:blip r:embed="rId16"/>
                    <a:stretch>
                      <a:fillRect/>
                    </a:stretch>
                  </pic:blipFill>
                  <pic:spPr>
                    <a:xfrm>
                      <a:off x="0" y="0"/>
                      <a:ext cx="5486400" cy="39000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7257143, E 808712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Siljansspindling (VU)</w:t>
      </w:r>
      <w:r>
        <w:t>, som bildar mykorrhiza med gran, möjligen också tall, i kalkbarrskog, är huvudsakligen knuten till äldre skog på kalkrik mark. Arten är placerad högst upp i Skogsstyrelsens värdepyramid för bedömning av skog med höga naturvärden och lokaler där arten finns bör undantas från skogsbruk. Den svenska och norska populationen utgör artens kärnområde i ett europeiskt perspektiv och arten är även globalt rödlistad som sårbar (VU) vilket innebär att Sverige har ett särskilt bevarandeansvar för arten (SLU Artdatabanken, 2024; Nitare &amp; Skogsstyrelsen, 2019; IUCN,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 xml:space="preserve">Tallfingersvamp </w:t>
      </w:r>
      <w:r>
        <w:t>bildar mykorrhiza med tall och gran i barrskog, framför allt sandtallskog men även i annan näringsfattig barrskog. Arten är en av landets vanligaste korallfingersvampar i äldre barrskog. Trots detta är den troligen minskande då den i huvudsak är knuten till äldre skog, främst kontinuitetsbarrskogar. Slutavverkning, gödsling eller exploatering måste undvikas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knärot (VU, §8),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3.19 ha med buffertzonerna och får av detta skäl inte avverkas.</w:t>
      </w:r>
    </w:p>
    <w:p>
      <w:pPr>
        <w:pStyle w:val="Caption"/>
      </w:pPr>
      <w:r>
        <w:drawing>
          <wp:inline xmlns:a="http://schemas.openxmlformats.org/drawingml/2006/main" xmlns:pic="http://schemas.openxmlformats.org/drawingml/2006/picture">
            <wp:extent cx="5486400" cy="4810180"/>
            <wp:docPr id="2" name="Picture 2"/>
            <wp:cNvGraphicFramePr>
              <a:graphicFrameLocks noChangeAspect="1"/>
            </wp:cNvGraphicFramePr>
            <a:graphic>
              <a:graphicData uri="http://schemas.openxmlformats.org/drawingml/2006/picture">
                <pic:pic>
                  <pic:nvPicPr>
                    <pic:cNvPr id="0" name="A 14504-2020 karta knärot.png"/>
                    <pic:cNvPicPr/>
                  </pic:nvPicPr>
                  <pic:blipFill>
                    <a:blip r:embed="rId17"/>
                    <a:stretch>
                      <a:fillRect/>
                    </a:stretch>
                  </pic:blipFill>
                  <pic:spPr>
                    <a:xfrm>
                      <a:off x="0" y="0"/>
                      <a:ext cx="5486400" cy="481018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7257143, E 808712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