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73023-2021 i Piteå kommun</w:t>
      </w:r>
    </w:p>
    <w:p>
      <w:r>
        <w:t>Detta dokument behandlar höga naturvärden i avverkningsanmälan A 73023-2021 i Piteå kommun. Denna avverkningsanmälan inkom 2021-12-20 och omfattar 10,3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garnlav (NT), lunglav (NT) och ullticka (NT). Av dessa är 4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2577979"/>
            <wp:docPr id="1" name="Picture 1"/>
            <wp:cNvGraphicFramePr>
              <a:graphicFrameLocks noChangeAspect="1"/>
            </wp:cNvGraphicFramePr>
            <a:graphic>
              <a:graphicData uri="http://schemas.openxmlformats.org/drawingml/2006/picture">
                <pic:pic>
                  <pic:nvPicPr>
                    <pic:cNvPr id="0" name="A 73023-2021 karta.png"/>
                    <pic:cNvPicPr/>
                  </pic:nvPicPr>
                  <pic:blipFill>
                    <a:blip r:embed="rId16"/>
                    <a:stretch>
                      <a:fillRect/>
                    </a:stretch>
                  </pic:blipFill>
                  <pic:spPr>
                    <a:xfrm>
                      <a:off x="0" y="0"/>
                      <a:ext cx="5486400" cy="2577979"/>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7275715, E 784686 i SWEREF 99 TM.</w:t>
      </w:r>
    </w:p>
    <w:p>
      <w:pPr>
        <w:pStyle w:val="Heading1"/>
      </w:pPr>
      <w:r>
        <w:t>Fridlysta arter</w:t>
      </w:r>
    </w:p>
    <w:p>
      <w:r>
        <w:t>Följande fridlysta arter har sina livsmiljöer och växtplatser i den avverkningsanmälda skogen: knärot (VU, §8).</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2.06 ha med buffertzonerna och får av detta skäl inte avverkas.</w:t>
      </w:r>
    </w:p>
    <w:p>
      <w:pPr>
        <w:pStyle w:val="Caption"/>
      </w:pPr>
      <w:r>
        <w:drawing>
          <wp:inline xmlns:a="http://schemas.openxmlformats.org/drawingml/2006/main" xmlns:pic="http://schemas.openxmlformats.org/drawingml/2006/picture">
            <wp:extent cx="5486400" cy="2853509"/>
            <wp:docPr id="2" name="Picture 2"/>
            <wp:cNvGraphicFramePr>
              <a:graphicFrameLocks noChangeAspect="1"/>
            </wp:cNvGraphicFramePr>
            <a:graphic>
              <a:graphicData uri="http://schemas.openxmlformats.org/drawingml/2006/picture">
                <pic:pic>
                  <pic:nvPicPr>
                    <pic:cNvPr id="0" name="A 73023-2021 karta knärot.png"/>
                    <pic:cNvPicPr/>
                  </pic:nvPicPr>
                  <pic:blipFill>
                    <a:blip r:embed="rId17"/>
                    <a:stretch>
                      <a:fillRect/>
                    </a:stretch>
                  </pic:blipFill>
                  <pic:spPr>
                    <a:xfrm>
                      <a:off x="0" y="0"/>
                      <a:ext cx="5486400" cy="2853509"/>
                    </a:xfrm>
                    <a:prstGeom prst="rect"/>
                  </pic:spPr>
                </pic:pic>
              </a:graphicData>
            </a:graphic>
          </wp:inline>
        </w:drawing>
      </w:r>
    </w:p>
    <w:p>
      <w:pPr>
        <w:pStyle w:val="Caption"/>
      </w:pPr>
      <w:r>
        <w:t>Figur 2. Fyndplatser och buffertzoner för knärot i det avverkningsanmälda området. Endast fyndplaster vars buffertzoner överlappar med det avverkningsanmälda området har tagits med i visualiseringen. Kartans mittpunktskoordinat är N 7275715, E 784686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4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2024-12-10</w:t>
      <w:br/>
      <w:br/>
    </w:r>
    <w:r>
      <w:t>Till: Övriga Aktiebolag</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