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59832-2023 i Piteå kommun</w:t>
      </w:r>
    </w:p>
    <w:p>
      <w:r>
        <w:t>Detta klagomål behandlar höga naturvärden i avverkningsanmälan A 59832-2023 i Piteå kommun som inkom 2023-11-27 och omfattar 10,6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59832-2023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7274506, E 780018 i SWEREF 99 TM.</w:t>
      </w:r>
    </w:p>
    <w:p>
      <w:r>
        <w:t>I och inom 5 meter från avverkningsanmälan finns fynd av 11 naturvårdsarter, varav 4 är rödlistade, 2 är fridlysta, 8 är typiska (T) och 6 är signalarter (S): garnlav (VU, T), gammelgransskål (NT, T), lavskrika (NT, T, §4), lunglav (NT, T), björksplintborre (S), bronshjon (S, T), myskbock (S), skinnlav (S, T), stuplav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