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30513-2026 i Bodens kommun</w:t>
      </w:r>
    </w:p>
    <w:p>
      <w:r>
        <w:t>Denna tillsynsbegäran behandlar höga naturvärden i avverkningsanmälan A 30513-2026 i Bodens kommun som inkom 2026-07-07 och omfattar 10,2 ha.</w:t>
      </w:r>
    </w:p>
    <w:p>
      <w:pPr>
        <w:pStyle w:val="Caption"/>
      </w:pPr>
      <w:r>
        <w:drawing>
          <wp:inline xmlns:a="http://schemas.openxmlformats.org/drawingml/2006/main" xmlns:pic="http://schemas.openxmlformats.org/drawingml/2006/picture">
            <wp:extent cx="5486400" cy="4715128"/>
            <wp:docPr id="1" name="Picture 1"/>
            <wp:cNvGraphicFramePr>
              <a:graphicFrameLocks noChangeAspect="1"/>
            </wp:cNvGraphicFramePr>
            <a:graphic>
              <a:graphicData uri="http://schemas.openxmlformats.org/drawingml/2006/picture">
                <pic:pic>
                  <pic:nvPicPr>
                    <pic:cNvPr id="0" name="A 30513-2026 karta.png"/>
                    <pic:cNvPicPr/>
                  </pic:nvPicPr>
                  <pic:blipFill>
                    <a:blip r:embed="rId16"/>
                    <a:stretch>
                      <a:fillRect/>
                    </a:stretch>
                  </pic:blipFill>
                  <pic:spPr>
                    <a:xfrm>
                      <a:off x="0" y="0"/>
                      <a:ext cx="5486400" cy="4715128"/>
                    </a:xfrm>
                    <a:prstGeom prst="rect"/>
                  </pic:spPr>
                </pic:pic>
              </a:graphicData>
            </a:graphic>
          </wp:inline>
        </w:drawing>
      </w:r>
    </w:p>
    <w:p>
      <w:pPr>
        <w:pStyle w:val="Caption"/>
        <w:spacing w:after="240"/>
      </w:pPr>
      <w:r>
        <w:t>Figur 1. Fyndplatser för naturvårdsarter i och inom 15 meter från avverkningsanmälan. Markörer utan svart kant är placerade på fyndplatsen. Markörer med svart kant är placerade vid sidan av fyndplatsen och har ett svart streck som visar fyndplatsens exakta position. Kartans mittpunktskoordinat är N 7353387, E 802297 i SWEREF 99 TM.</w:t>
      </w:r>
    </w:p>
    <w:p>
      <w:r>
        <w:t>I och inom 15 meter från avverkningsanmälan finns fynd av 7 naturvårdsarter, varav 6 är rödlistade, 1 är fridlyst, 6 är typiska (T) och 1 är signalart (S): gräddporing (VU, T), knärot (VU, T, §8), dropptaggsvamp (NT, T), nordtagging (NT), orange taggsvamp (NT, T), tallticka (NT, T) och grönpyrola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Gräddporing är typisk art för </w:t>
      </w:r>
      <w:r>
        <w:rPr>
          <w:i/>
        </w:rPr>
        <w:t>9010 Taiga</w:t>
      </w:r>
      <w:r>
        <w:t xml:space="preserve"> (SLU Artdatabanken, 2024; Nitare &amp; Skogsstyrelsen, 2019).</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8 fyndplatser för knärot registrerade på Artportalen. Figur 2 visar gränserna för buffertzoner på 50 m, som behöver lämnas kring fyndplatserna för att knärotslokalerna inte ska försvinna vid en avverkning. Av det avverkningsanmälda området överlappar 3.17 ha med buffertzonerna och får av detta skäl inte avverkas.</w:t>
      </w:r>
    </w:p>
    <w:p>
      <w:pPr>
        <w:pStyle w:val="Caption"/>
      </w:pPr>
      <w:r>
        <w:drawing>
          <wp:inline xmlns:a="http://schemas.openxmlformats.org/drawingml/2006/main" xmlns:pic="http://schemas.openxmlformats.org/drawingml/2006/picture">
            <wp:extent cx="5486400" cy="6002039"/>
            <wp:docPr id="2" name="Picture 2"/>
            <wp:cNvGraphicFramePr>
              <a:graphicFrameLocks noChangeAspect="1"/>
            </wp:cNvGraphicFramePr>
            <a:graphic>
              <a:graphicData uri="http://schemas.openxmlformats.org/drawingml/2006/picture">
                <pic:pic>
                  <pic:nvPicPr>
                    <pic:cNvPr id="0" name="A 30513-2026 karta knärot.png"/>
                    <pic:cNvPicPr/>
                  </pic:nvPicPr>
                  <pic:blipFill>
                    <a:blip r:embed="rId17"/>
                    <a:stretch>
                      <a:fillRect/>
                    </a:stretch>
                  </pic:blipFill>
                  <pic:spPr>
                    <a:xfrm>
                      <a:off x="0" y="0"/>
                      <a:ext cx="5486400" cy="6002039"/>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7353387, E 802297 i SWEREF 99 TM.</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Nordtagging (NT)</w:t>
      </w:r>
      <w:r>
        <w:t xml:space="preserve"> växer främst på tallågor av grövre dimensioner och påträffas huvudsakligen i äldre skog som inte kalavverkats. Nordtaggingen missgynnas av att områden med äldre tallskog har minskat starkt. Bekämpning av skogsbränder, samtidigt som skogsbruket omvandlar naturligt glesa tallbestånd till likartade och betydligt tätare bestånd, har missgynnat arten. Bristen på gamla tallågor utgör på sikt ett allvarligt hot och återskapandet av lämpliga biotoper tar mycket lång tid. Områden med olikåldriga bestånd av tall och med stort inslag av äldre träd bör undantas från skoglig produktion (SLU Artdatabanken, 2024).</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gräddporing (VU, T), knärot (VU, T, §8), dropptaggsvamp (NT, T), orange taggsvamp (NT, T), tallticka (NT, T) och grönpyrola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