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31635-2024 i Bodens kommun</w:t>
      </w:r>
    </w:p>
    <w:p>
      <w:r>
        <w:t>Detta dokument behandlar höga naturvärden i avverkningsanmälan A 31635-2024 i Bodens kommun. Denna avverkningsanmälan inkom 2024-08-02 00:00:00 och omfattar 15,9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22 naturvårdsarter hittats: knärot (VU, §8), blanksvart spiklav (NT), gammelgransskål (NT), garnlav (NT), granticka (NT), knottrig blåslav (NT), luddfingersvamp (NT), skrovellav (NT), spillkråka (NT, §4), tallriska (NT), talltita (NT, §4), vedflamlav (NT), bollvitmossa (S), dropptaggsvamp (S), källpraktmossa (S), skarp dropptaggsvamp (S), spindelblomster (S, §8), strutbräken (S), vanlig groda (§6), vanlig padda (§6), fläcknycklar (§8) och nattviol (§8).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80682"/>
            <wp:docPr id="1" name="Picture 1"/>
            <wp:cNvGraphicFramePr>
              <a:graphicFrameLocks noChangeAspect="1"/>
            </wp:cNvGraphicFramePr>
            <a:graphic>
              <a:graphicData uri="http://schemas.openxmlformats.org/drawingml/2006/picture">
                <pic:pic>
                  <pic:nvPicPr>
                    <pic:cNvPr id="0" name="A 31635-2024 karta.png"/>
                    <pic:cNvPicPr/>
                  </pic:nvPicPr>
                  <pic:blipFill>
                    <a:blip r:embed="rId16"/>
                    <a:stretch>
                      <a:fillRect/>
                    </a:stretch>
                  </pic:blipFill>
                  <pic:spPr>
                    <a:xfrm>
                      <a:off x="0" y="0"/>
                      <a:ext cx="5486400" cy="67806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7310756, E 799655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 xml:space="preserve">Strutbräken </w:t>
      </w:r>
      <w:r>
        <w:t>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 (Nitare &amp; Skogsstyrelsen, 2019).</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Fridlysta arter</w:t>
      </w:r>
    </w:p>
    <w:p>
      <w:r>
        <w:t>Följande fridlysta arter har sina livsmiljöer och växtplatser i den avverkningsanmälda skogen: knärot (VU, §8), spillkråka (NT, §4), talltita (NT, §4), spindelblomster (S, §8), vanlig groda (§6), vanlig padda (§6), fläcknycklar (§8) och nattviol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46 fyndplatser för knärot registrerade på Artportalen. Figur 2 visar gränserna för buffertzoner på 50 m, som behöver lämnas kring fyndplatserna för att knärotslokalerna inte ska försvinna vid en avverkning. Av det avverkningsanmälda området överlappar 10.79 ha med buffertzonerna och får av detta skäl inte avverkas.</w:t>
      </w:r>
    </w:p>
    <w:p>
      <w:pPr>
        <w:pStyle w:val="Caption"/>
      </w:pPr>
      <w:r>
        <w:drawing>
          <wp:inline xmlns:a="http://schemas.openxmlformats.org/drawingml/2006/main" xmlns:pic="http://schemas.openxmlformats.org/drawingml/2006/picture">
            <wp:extent cx="5486400" cy="9436844"/>
            <wp:docPr id="2" name="Picture 2"/>
            <wp:cNvGraphicFramePr>
              <a:graphicFrameLocks noChangeAspect="1"/>
            </wp:cNvGraphicFramePr>
            <a:graphic>
              <a:graphicData uri="http://schemas.openxmlformats.org/drawingml/2006/picture">
                <pic:pic>
                  <pic:nvPicPr>
                    <pic:cNvPr id="0" name="A 31635-2024 karta knärot.png"/>
                    <pic:cNvPicPr/>
                  </pic:nvPicPr>
                  <pic:blipFill>
                    <a:blip r:embed="rId17"/>
                    <a:stretch>
                      <a:fillRect/>
                    </a:stretch>
                  </pic:blipFill>
                  <pic:spPr>
                    <a:xfrm>
                      <a:off x="0" y="0"/>
                      <a:ext cx="5486400" cy="943684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7310756, E 799655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22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