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18548-2025 i Bodens kommun</w:t>
      </w:r>
    </w:p>
    <w:p>
      <w:r>
        <w:t>Detta dokument behandlar höga naturvärden i avverkningsanmälan A 18548-2025 i Bodens kommun som inkom 2025-04-16 och omfattar 24,6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15217"/>
            <wp:docPr id="1" name="Picture 1"/>
            <wp:cNvGraphicFramePr>
              <a:graphicFrameLocks noChangeAspect="1"/>
            </wp:cNvGraphicFramePr>
            <a:graphic>
              <a:graphicData uri="http://schemas.openxmlformats.org/drawingml/2006/picture">
                <pic:pic>
                  <pic:nvPicPr>
                    <pic:cNvPr id="0" name="A 18548-2025 karta.png"/>
                    <pic:cNvPicPr/>
                  </pic:nvPicPr>
                  <pic:blipFill>
                    <a:blip r:embed="rId16"/>
                    <a:stretch>
                      <a:fillRect/>
                    </a:stretch>
                  </pic:blipFill>
                  <pic:spPr>
                    <a:xfrm>
                      <a:off x="0" y="0"/>
                      <a:ext cx="5486400" cy="4415217"/>
                    </a:xfrm>
                    <a:prstGeom prst="rect"/>
                  </pic:spPr>
                </pic:pic>
              </a:graphicData>
            </a:graphic>
          </wp:inline>
        </w:drawing>
      </w:r>
    </w:p>
    <w:p>
      <w:pPr>
        <w:pStyle w:val="Caption"/>
        <w:spacing w:after="240"/>
      </w:pPr>
      <w:r>
        <w:t>Figur 1. Fyndplatser för naturvårdsarter i och inom 25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7340998, E 780677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25 meter från avverkningsanmälan har följande 29 naturvårdsarter hittats: garnlav (VU, T), gräddporing (VU, T), knärot (VU, T, §8), blanksvart spiklav (NT), blågrå svartspik (NT), brunpudrad nållav (NT, T), doftskinn (NT, T), dropptaggsvamp (NT, T), dvärgbägarlav (NT, T), gammelgransskål (NT, T), knottrig blåslav (NT, T), kolflarnlav (NT, T), mörk kolflarnlav (NT), nordtagging (NT), rosenticka (NT, T), tallticka (NT, T), talltita (NT, §4), tretåig hackspett (NT, T, §4), ullticka (NT, T), vaddporing (NT), vedskivlav (NT, T), blodticka (S, T), bronshjon (S, T), nästlav (S, T), plattlummer (S, T, §9), tjäder (T, §4), kungsfågel (§4), orre (§4) och fläcknycklar (§8). Av dessa är 21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knärot (VU, T, §8), talltita (NT, §4), tretåig hackspett (NT, T, §4), plattlummer (S, T, §9), tjäder (T, §4), kungsfågel (§4), orre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2.94 ha med buffertzonerna och får av detta skäl inte avverkas.</w:t>
      </w:r>
    </w:p>
    <w:p>
      <w:pPr>
        <w:pStyle w:val="Caption"/>
      </w:pPr>
      <w:r>
        <w:drawing>
          <wp:inline xmlns:a="http://schemas.openxmlformats.org/drawingml/2006/main" xmlns:pic="http://schemas.openxmlformats.org/drawingml/2006/picture">
            <wp:extent cx="5486400" cy="5586223"/>
            <wp:docPr id="2" name="Picture 2"/>
            <wp:cNvGraphicFramePr>
              <a:graphicFrameLocks noChangeAspect="1"/>
            </wp:cNvGraphicFramePr>
            <a:graphic>
              <a:graphicData uri="http://schemas.openxmlformats.org/drawingml/2006/picture">
                <pic:pic>
                  <pic:nvPicPr>
                    <pic:cNvPr id="0" name="A 18548-2025 karta knärot.png"/>
                    <pic:cNvPicPr/>
                  </pic:nvPicPr>
                  <pic:blipFill>
                    <a:blip r:embed="rId17"/>
                    <a:stretch>
                      <a:fillRect/>
                    </a:stretch>
                  </pic:blipFill>
                  <pic:spPr>
                    <a:xfrm>
                      <a:off x="0" y="0"/>
                      <a:ext cx="5486400" cy="55862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7340998, E 780677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brunpudrad nållav (NT, T), doftskinn (NT, T), dropptaggsvamp (NT, T), dvärgbägarlav (NT, T), gammelgransskål (NT, T), knottrig blåslav (NT, T), kolflarnlav (NT, T), rosenticka (NT, T), tallticka (NT, T), tretåig hackspett (NT, T, §4), ullticka (NT, T), vedskivlav (NT, T), blodticka (S, T), bronshjon (S, T), nästlav (S,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