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665-2023 i Bodens kommun</w:t>
      </w:r>
    </w:p>
    <w:p>
      <w:r>
        <w:t>Detta dokument behandlar höga naturvärden i avverkningsanmälan A 665-2023 i Bodens kommun som inkom 2022-12-30 och omfattar 0,9 ha.</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4726318" cy="5688000"/>
            <wp:docPr id="1" name="Picture 1"/>
            <wp:cNvGraphicFramePr>
              <a:graphicFrameLocks noChangeAspect="1"/>
            </wp:cNvGraphicFramePr>
            <a:graphic>
              <a:graphicData uri="http://schemas.openxmlformats.org/drawingml/2006/picture">
                <pic:pic>
                  <pic:nvPicPr>
                    <pic:cNvPr id="0" name="A 665-2023 karta.png"/>
                    <pic:cNvPicPr/>
                  </pic:nvPicPr>
                  <pic:blipFill>
                    <a:blip r:embed="rId16"/>
                    <a:stretch>
                      <a:fillRect/>
                    </a:stretch>
                  </pic:blipFill>
                  <pic:spPr>
                    <a:xfrm>
                      <a:off x="0" y="0"/>
                      <a:ext cx="4726318" cy="5688000"/>
                    </a:xfrm>
                    <a:prstGeom prst="rect"/>
                  </pic:spPr>
                </pic:pic>
              </a:graphicData>
            </a:graphic>
          </wp:inline>
        </w:drawing>
      </w:r>
    </w:p>
    <w:p>
      <w:pPr>
        <w:pStyle w:val="Caption"/>
        <w:spacing w:after="240"/>
      </w:pPr>
      <w:r>
        <w:t>Figur 1. Fyndplatser för naturvårdsarter inom 21 meter från avverkningsanmälan (röd linje). Inom parentes anges rödlistekategorier, S för signalarter, Tför typiska arter och fridlysningsparagrafer i artskyddsförordningen.Markörer utan svart kant är placerade på fyndplatsen. Markörer med svart kant är placerade vid sidan av fyndplatsen och har ett svart streck som visar fyndplatsens exakta position. Kartans mittpunktskoordinat är N 7335976, E 801538 i SWEREF 99 TM.</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Inom 21 meter från avverkningsanmälan har följande 1 naturvårdsarter hittats: duvhök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 rör sig om en skog med höga naturvärden.</w:t>
      </w:r>
    </w:p>
    <w:p>
      <w:pPr>
        <w:pStyle w:val="Heading2"/>
      </w:pPr>
      <w:r>
        <w:t>Fridlysta arter</w:t>
      </w:r>
    </w:p>
    <w:p>
      <w:r>
        <w:t>Följande fridlysta arter har sina livsmiljöer och växtplatser i den avverkningsanmälda skogen: duvhök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som är rödlistad som nära hotad, har minskat med 15 (0–30) % under de senaste 18 åren och minskningstakten för den svenska populationen bedöms vara nära gränsvärdet för sårbar (VU). Arten är starkt bunden till skogsmark och jagar helst inne i äldre skog. Den missgynnas av stora hyggen och täta planteringar. De gamla fåglarna är i huvudsak stationära i sina revir och boet läggs inne i tät, oftast äldre skog. Kantzoner mot öppen mark undviks och duvhöken, som är beroende av insynsskyddade boplatser, är därför känsligare för slutavverkning än flera andra rovfåglar. Friställande av boträd eller avverkning så att boplatsen blir exponerad mot öppen mark, medför att platsen överges. Eftersom duvhöken helst häckar i gammal skog, är dess häckningsplatser i princip alltid mer eller mindre hotade av skogsbruk och avverkningar (SLU Artdatabanken, 2026;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Duvhök – ekologi samt krav på livsmiljön</w:t>
      </w:r>
    </w:p>
    <w:p>
      <w:r>
        <w:t>Duvhök (NT, §4) är rödlistad som nära hotad och fridlyst enligt 4§ artskyddsförordningen. Arten har minskat med 15 (0–30) % under de senaste 18 åren och minskningstakten för den svenska populationen bedöms vara nära gränsvärdet för sårbar (VU). Bedömningen baseras på direkt observation, ett för arten lämpligt abundansindex och minskad geografisk utbredning och/eller försämrad habitatkvalitet (allt yngre och tätare skogar vilket försvårar för boplacering samt missgynnar jaktmöjligheterna) (SLU Artdatabanken, 2026).</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2026).</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2026).</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