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31230-2026 i Bodens kommun</w:t>
      </w:r>
    </w:p>
    <w:p>
      <w:r>
        <w:t>Denna tillsynsbegäran behandlar höga naturvärden i avverkningsanmälan A 31230-2026 i Bodens kommun som inkom 2026-07-14 och omfattar 7,0 ha.</w:t>
      </w:r>
    </w:p>
    <w:p>
      <w:pPr>
        <w:pStyle w:val="Caption"/>
      </w:pPr>
      <w:r>
        <w:drawing>
          <wp:inline xmlns:a="http://schemas.openxmlformats.org/drawingml/2006/main" xmlns:pic="http://schemas.openxmlformats.org/drawingml/2006/picture">
            <wp:extent cx="5486400" cy="5075391"/>
            <wp:docPr id="1" name="Picture 1"/>
            <wp:cNvGraphicFramePr>
              <a:graphicFrameLocks noChangeAspect="1"/>
            </wp:cNvGraphicFramePr>
            <a:graphic>
              <a:graphicData uri="http://schemas.openxmlformats.org/drawingml/2006/picture">
                <pic:pic>
                  <pic:nvPicPr>
                    <pic:cNvPr id="0" name="A 31230-2026 karta.png"/>
                    <pic:cNvPicPr/>
                  </pic:nvPicPr>
                  <pic:blipFill>
                    <a:blip r:embed="rId16"/>
                    <a:stretch>
                      <a:fillRect/>
                    </a:stretch>
                  </pic:blipFill>
                  <pic:spPr>
                    <a:xfrm>
                      <a:off x="0" y="0"/>
                      <a:ext cx="5486400" cy="5075391"/>
                    </a:xfrm>
                    <a:prstGeom prst="rect"/>
                  </pic:spPr>
                </pic:pic>
              </a:graphicData>
            </a:graphic>
          </wp:inline>
        </w:drawing>
      </w:r>
    </w:p>
    <w:p>
      <w:pPr>
        <w:pStyle w:val="Caption"/>
        <w:spacing w:after="240"/>
      </w:pPr>
      <w:r>
        <w:t>Figur 1. Fyndplatser för naturvårdsarter inom 24 meter från avverkningsanmälan. Markörer utan svart kant är placerade på fyndplatsen. Markörer med svart kant är placerade vid sidan av fyndplatsen och har ett svart streck som visar fyndplatsens exakta position. Kartans mittpunktskoordinat är N 7325418, E 773511 i SWEREF 99 TM.</w:t>
      </w:r>
    </w:p>
    <w:p>
      <w:r>
        <w:t>Inom 24 meter från avverkningsanmälan finns fynd av 3 naturvårdsarter, varav 1 är rödlistad, 2 är fridlysta och 1 är typisk (T): lunglav (NT, T), fläcknycklar (§8) och fläcknycklar × sumpnycklar (§8).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Lunglav (NT)</w:t>
      </w:r>
      <w:r>
        <w:t xml:space="preserve"> är en av vårt lands främsta signalarter som överallt indikerar gamla lövträd, skogsbestånd med höga naturvärden och ekosystem med långskoglig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På lunglav kan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påträffas. 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 Nitare &amp; Skogsstyrelsen, 2019).</w:t>
      </w:r>
    </w:p>
    <w:p>
      <w:r>
        <w:br w:type="page"/>
      </w:r>
    </w:p>
    <w:p>
      <w:pPr>
        <w:pStyle w:val="Title"/>
      </w:pPr>
      <w:r>
        <w:t>BILAGA 1 – Rödlistade arter</w:t>
      </w:r>
    </w:p>
    <w:p>
      <w:pPr>
        <w:pStyle w:val="Heading1"/>
      </w:pPr>
      <w:r>
        <w:t>Lunglav – ekologi samt krav på livsmiljön</w:t>
      </w:r>
    </w:p>
    <w:p>
      <w:r>
        <w:t xml:space="preserve">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däribland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som växer på lunglav. Rikliga förekomster med lunglav bör skyddas med biotopskydd, frivilliga avsättningar eller reservat (SLU Artdatabanken, 2026; Nitare &amp; Skogsstyrelsen, 2019).</w:t>
      </w:r>
    </w:p>
    <w:p>
      <w:r>
        <w:t xml:space="preserve">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2026-10-16</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