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1836-2023 i Bodens kommun</w:t>
      </w:r>
    </w:p>
    <w:p>
      <w:r>
        <w:t>Detta klagomål behandlar höga naturvärden i samrådsanmälan S 1836-2023 i Bodens kommun som inkom 2023-05-29 och omfattar 4,1 ha.</w:t>
      </w:r>
    </w:p>
    <w:p>
      <w:pPr>
        <w:pStyle w:val="Caption"/>
      </w:pPr>
      <w:r>
        <w:drawing>
          <wp:inline xmlns:a="http://schemas.openxmlformats.org/drawingml/2006/main" xmlns:pic="http://schemas.openxmlformats.org/drawingml/2006/picture">
            <wp:extent cx="5187006" cy="5724000"/>
            <wp:docPr id="1" name="Picture 1"/>
            <wp:cNvGraphicFramePr>
              <a:graphicFrameLocks noChangeAspect="1"/>
            </wp:cNvGraphicFramePr>
            <a:graphic>
              <a:graphicData uri="http://schemas.openxmlformats.org/drawingml/2006/picture">
                <pic:pic>
                  <pic:nvPicPr>
                    <pic:cNvPr id="0" name="S 1836-2023 karta.png"/>
                    <pic:cNvPicPr/>
                  </pic:nvPicPr>
                  <pic:blipFill>
                    <a:blip r:embed="rId16"/>
                    <a:stretch>
                      <a:fillRect/>
                    </a:stretch>
                  </pic:blipFill>
                  <pic:spPr>
                    <a:xfrm>
                      <a:off x="0" y="0"/>
                      <a:ext cx="5187006"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7336805, E 783820 i SWEREF 99 TM.</w:t>
      </w:r>
    </w:p>
    <w:p>
      <w:r>
        <w:t>I och inom 25 meter från samrådsanmälan finns fynd av 16 naturvårdsarter, varav 13 är rödlistade, 2 är fridlysta, 13 är typiska (T) och 3 är signalarter (S): asptagging (VU), fläckporing (VU, T), gräddporing (VU, T), knärot (VU, T, §8), liten aspgelélav (VU, T), kolflarnlav (NT, T), lunglav (NT, T), nordtagging (NT), rynkskinn (NT, T), tallticka (NT, T), ullticka (NT, T), vedtrappmossa (NT, T), vitgrynig nållav (NT), rävticka (S, T), skinnlav (S, T) och spindelblomster (S,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Asptagging (VU)</w:t>
      </w:r>
      <w:r>
        <w:t xml:space="preserve"> är en sällsynt skinnsvamp som växer på murkna lågor av grov asp, i fuktig löv- och blandskog, vid källor och i strandskog. Arten måste eftersökas på de kända fyndplatserna och dessa skyddas om arten återfinns. För att gynna arten måste bestånd av asp lämnas till fri utveckling på lämpliga platser och gamla lövbrännor med stort inslag av äldre aspar bör inte avverkas (SLU Artdatabanken, 2024).</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5 fyndplatser för knärot registrerade på Artportalen. Figur 2 visar gränserna för buffertzoner på 50 m, som behöver lämnas kring fyndplatserna för att knärotslokalerna inte ska försvinna vid en avverkning. Av det samrådsanmälda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276529"/>
            <wp:docPr id="2" name="Picture 2"/>
            <wp:cNvGraphicFramePr>
              <a:graphicFrameLocks noChangeAspect="1"/>
            </wp:cNvGraphicFramePr>
            <a:graphic>
              <a:graphicData uri="http://schemas.openxmlformats.org/drawingml/2006/picture">
                <pic:pic>
                  <pic:nvPicPr>
                    <pic:cNvPr id="0" name="S 1836-2023 karta knärot.png"/>
                    <pic:cNvPicPr/>
                  </pic:nvPicPr>
                  <pic:blipFill>
                    <a:blip r:embed="rId17"/>
                    <a:stretch>
                      <a:fillRect/>
                    </a:stretch>
                  </pic:blipFill>
                  <pic:spPr>
                    <a:xfrm>
                      <a:off x="0" y="0"/>
                      <a:ext cx="5486400" cy="8276529"/>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7336805, E 783820 i SWEREF 99 TM.</w:t>
      </w:r>
    </w:p>
    <w:p>
      <w:r>
        <w:rPr>
          <w:b/>
        </w:rPr>
        <w:t>Liten aspgelélav (VU)</w:t>
      </w:r>
      <w:r>
        <w:t xml:space="preserve">, rödlistad som sårbar, växer på asp i halvöppna boreala blandskogar med hög och jämn luftfuktighet. Den omfattas av åtgärdsprogram (ÅGP) för hotade arter på asp i Norrland och är placerad i toppen av Skogsstyrelsens värdepyramid för bedömning av skog med höga naturvärden. Arten har ett mycket högt skyddsvärde då en mycket stor andel (mer än 90 %) av samtliga kända lokaler i världen finns i Sverige. Samtliga lokaler måste skyddas och inslaget av asp i skogsmark måste öka på lång sikt. Liten aspgelélav är typisk art för </w:t>
      </w:r>
      <w:r>
        <w:rPr>
          <w:i/>
        </w:rPr>
        <w:t>9010 Taiga</w:t>
      </w:r>
      <w:r>
        <w:t xml:space="preserve"> (Naturvårdsverket, 2010;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