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36618-2023 i Bodens kommun</w:t>
      </w:r>
    </w:p>
    <w:p>
      <w:r>
        <w:t>Denna tillsynsbegäran behandlar höga naturvärden i avverkningsanmälan A 36618-2023 i Bodens kommun som inkom 2023-08-14 och omfattar 7,1 ha.</w:t>
      </w:r>
    </w:p>
    <w:p>
      <w:pPr>
        <w:pStyle w:val="Caption"/>
      </w:pPr>
      <w:r>
        <w:drawing>
          <wp:inline xmlns:a="http://schemas.openxmlformats.org/drawingml/2006/main" xmlns:pic="http://schemas.openxmlformats.org/drawingml/2006/picture">
            <wp:extent cx="4650012" cy="5724000"/>
            <wp:docPr id="1" name="Picture 1"/>
            <wp:cNvGraphicFramePr>
              <a:graphicFrameLocks noChangeAspect="1"/>
            </wp:cNvGraphicFramePr>
            <a:graphic>
              <a:graphicData uri="http://schemas.openxmlformats.org/drawingml/2006/picture">
                <pic:pic>
                  <pic:nvPicPr>
                    <pic:cNvPr id="0" name="A 36618-2023 karta.png"/>
                    <pic:cNvPicPr/>
                  </pic:nvPicPr>
                  <pic:blipFill>
                    <a:blip r:embed="rId16"/>
                    <a:stretch>
                      <a:fillRect/>
                    </a:stretch>
                  </pic:blipFill>
                  <pic:spPr>
                    <a:xfrm>
                      <a:off x="0" y="0"/>
                      <a:ext cx="465001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7336973, E 784094 i SWEREF 99 TM.</w:t>
      </w:r>
    </w:p>
    <w:p>
      <w:r>
        <w:t>I och inom 19 meter från avverkningsanmälan finns fynd av 19 naturvårdsarter, varav 16 är rödlistade, 1 är fridlyst, 14 är typiska (T) och 3 är signalarter (S): garnlav (VU, T), grenlav (VU), gräddporing (VU, T), knärot (VU, T, §8), liten aspgelélav (VU, T), blanksvart spiklav (NT), blå taggsvamp (NT, T), blågrå svartspik (NT), dropptaggsvamp (NT, T), dvärgbägarlav (NT, T), kolflarnlav (NT, T), lunglav (NT, T), mörk kolflarnlav (NT), nordtagging (NT), ullticka (NT, T), vedskivlav (NT, T), grönpyrola (S, T), luddlav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9508889"/>
            <wp:docPr id="2" name="Picture 2"/>
            <wp:cNvGraphicFramePr>
              <a:graphicFrameLocks noChangeAspect="1"/>
            </wp:cNvGraphicFramePr>
            <a:graphic>
              <a:graphicData uri="http://schemas.openxmlformats.org/drawingml/2006/picture">
                <pic:pic>
                  <pic:nvPicPr>
                    <pic:cNvPr id="0" name="A 36618-2023 karta knärot.png"/>
                    <pic:cNvPicPr/>
                  </pic:nvPicPr>
                  <pic:blipFill>
                    <a:blip r:embed="rId17"/>
                    <a:stretch>
                      <a:fillRect/>
                    </a:stretch>
                  </pic:blipFill>
                  <pic:spPr>
                    <a:xfrm>
                      <a:off x="0" y="0"/>
                      <a:ext cx="5486400" cy="95088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7336973, E 784094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liten aspgelélav (VU, T), blå taggsvamp (NT, T), dropptaggsvamp (NT, T), dvärgbägarlav (NT, T), kolflarnlav (NT, T), lunglav (NT, T), ullticka (NT, T), vedskivlav (NT, T), grönpyrola (S, T), luddlav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