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55316-2023 i Bodens kommun</w:t>
      </w:r>
    </w:p>
    <w:p>
      <w:r>
        <w:t>Detta klagomål behandlar höga naturvärden i avverkningsanmälan A 55316-2023 i Bodens kommun som inkom 2023-11-07 och omfattar 17,6 ha.</w:t>
      </w:r>
    </w:p>
    <w:p>
      <w:pPr>
        <w:pStyle w:val="Caption"/>
      </w:pPr>
      <w:r>
        <w:drawing>
          <wp:inline xmlns:a="http://schemas.openxmlformats.org/drawingml/2006/main" xmlns:pic="http://schemas.openxmlformats.org/drawingml/2006/picture">
            <wp:extent cx="5486400" cy="3540708"/>
            <wp:docPr id="1" name="Picture 1"/>
            <wp:cNvGraphicFramePr>
              <a:graphicFrameLocks noChangeAspect="1"/>
            </wp:cNvGraphicFramePr>
            <a:graphic>
              <a:graphicData uri="http://schemas.openxmlformats.org/drawingml/2006/picture">
                <pic:pic>
                  <pic:nvPicPr>
                    <pic:cNvPr id="0" name="A 55316-2023 karta.png"/>
                    <pic:cNvPicPr/>
                  </pic:nvPicPr>
                  <pic:blipFill>
                    <a:blip r:embed="rId16"/>
                    <a:stretch>
                      <a:fillRect/>
                    </a:stretch>
                  </pic:blipFill>
                  <pic:spPr>
                    <a:xfrm>
                      <a:off x="0" y="0"/>
                      <a:ext cx="5486400" cy="354070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7329072, E 800780 i SWEREF 99 TM.</w:t>
      </w:r>
    </w:p>
    <w:p>
      <w:r>
        <w:t>I och inom 17 meter från avverkningsanmälan finns fynd av 10 naturvårdsarter, varav 3 är rödlistade, 6 är fridlysta, 6 är typiska (T) och 1 är signalart (S): gammelgransskål (NT, T), lunglav (NT, T), ullticka (NT, T), bollvitmossa (S, T), gråspett (T, §4), videsparv (T, §4), buskskvätta (§4), kungsfågel (§4), svartvit flugsnappare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