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1634-2025 i Bodens kommun</w:t>
      </w:r>
    </w:p>
    <w:p>
      <w:r>
        <w:t>Denna tillsynsbegäran behandlar höga naturvärden i samrådsanmälan S 1634-2025 i Bodens kommun som inkom 2025-05-22 och omfattar 1,9 ha.</w:t>
      </w:r>
    </w:p>
    <w:p>
      <w:pPr>
        <w:pStyle w:val="Caption"/>
      </w:pPr>
      <w:r>
        <w:drawing>
          <wp:inline xmlns:a="http://schemas.openxmlformats.org/drawingml/2006/main" xmlns:pic="http://schemas.openxmlformats.org/drawingml/2006/picture">
            <wp:extent cx="5104392" cy="5724000"/>
            <wp:docPr id="1" name="Picture 1"/>
            <wp:cNvGraphicFramePr>
              <a:graphicFrameLocks noChangeAspect="1"/>
            </wp:cNvGraphicFramePr>
            <a:graphic>
              <a:graphicData uri="http://schemas.openxmlformats.org/drawingml/2006/picture">
                <pic:pic>
                  <pic:nvPicPr>
                    <pic:cNvPr id="0" name="S 1634-2025 karta.png"/>
                    <pic:cNvPicPr/>
                  </pic:nvPicPr>
                  <pic:blipFill>
                    <a:blip r:embed="rId16"/>
                    <a:stretch>
                      <a:fillRect/>
                    </a:stretch>
                  </pic:blipFill>
                  <pic:spPr>
                    <a:xfrm>
                      <a:off x="0" y="0"/>
                      <a:ext cx="5104392" cy="5724000"/>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7369281, E 808875 i SWEREF 99 TM.</w:t>
      </w:r>
    </w:p>
    <w:p>
      <w:r>
        <w:t>I samrådsanmälan finns fynd av 1 naturvårdsarter, varav 1 är rödlistad, 1 är fridlyst och 1 är typisk (T): knärot (VU,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samrådsanmälda området finns 1 fyndplatser för knärot registrerade på Artportalen. Figur 2 visar gränserna för buffertzoner på 50 m, som behöver lämnas kring fyndplatserna för att knärotslokalerna inte ska försvinna vid en avverkning. Av det samrådsanmälda området överlappar 0.58 ha med buffertzonerna och får av detta skäl inte avverkas.</w:t>
      </w:r>
    </w:p>
    <w:p>
      <w:pPr>
        <w:pStyle w:val="Caption"/>
      </w:pPr>
      <w:r>
        <w:drawing>
          <wp:inline xmlns:a="http://schemas.openxmlformats.org/drawingml/2006/main" xmlns:pic="http://schemas.openxmlformats.org/drawingml/2006/picture">
            <wp:extent cx="5486400" cy="7765284"/>
            <wp:docPr id="2" name="Picture 2"/>
            <wp:cNvGraphicFramePr>
              <a:graphicFrameLocks noChangeAspect="1"/>
            </wp:cNvGraphicFramePr>
            <a:graphic>
              <a:graphicData uri="http://schemas.openxmlformats.org/drawingml/2006/picture">
                <pic:pic>
                  <pic:nvPicPr>
                    <pic:cNvPr id="0" name="S 1634-2025 karta knärot.png"/>
                    <pic:cNvPicPr/>
                  </pic:nvPicPr>
                  <pic:blipFill>
                    <a:blip r:embed="rId17"/>
                    <a:stretch>
                      <a:fillRect/>
                    </a:stretch>
                  </pic:blipFill>
                  <pic:spPr>
                    <a:xfrm>
                      <a:off x="0" y="0"/>
                      <a:ext cx="5486400" cy="7765284"/>
                    </a:xfrm>
                    <a:prstGeom prst="rect"/>
                  </pic:spPr>
                </pic:pic>
              </a:graphicData>
            </a:graphic>
          </wp:inline>
        </w:drawing>
      </w:r>
    </w:p>
    <w:p>
      <w:pPr>
        <w:pStyle w:val="Caption"/>
        <w:spacing w:after="240"/>
      </w:pPr>
      <w:r>
        <w:t>Figur 2. Fyndplatser och buffertzoner för knärot i det samrådsanmälda området. Endast fyndplatser vars buffertzoner överlappar med det samrådsanmälda området har tagits med i visualiseringen. Kartans mittpunktskoordinat är N 7369281, E 808875 i SWEREF 99 TM.</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